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75883" w:rsidRDefault="00151F88" w:rsidP="00975883">
      <w:pPr>
        <w:pStyle w:val="Normal1"/>
        <w:spacing w:line="200" w:lineRule="auto"/>
        <w:rPr>
          <w:rFonts w:ascii="Times New Roman" w:eastAsia="Times New Roman" w:hAnsi="Times New Roman" w:cs="Times New Roman"/>
        </w:rPr>
      </w:pPr>
      <w:r>
        <w:rPr>
          <w:rFonts w:ascii="Times New Roman" w:eastAsia="Times New Roman" w:hAnsi="Times New Roman" w:cs="Times New Roman"/>
          <w:noProof/>
          <w:color w:val="548DD4"/>
        </w:rPr>
        <w:drawing>
          <wp:anchor distT="0" distB="0" distL="114300" distR="114300" simplePos="0" relativeHeight="251658240" behindDoc="0" locked="0" layoutInCell="0" allowOverlap="1">
            <wp:simplePos x="0" y="0"/>
            <wp:positionH relativeFrom="margin">
              <wp:posOffset>3738245</wp:posOffset>
            </wp:positionH>
            <wp:positionV relativeFrom="paragraph">
              <wp:posOffset>-414020</wp:posOffset>
            </wp:positionV>
            <wp:extent cx="2324100" cy="685800"/>
            <wp:effectExtent l="19050" t="0" r="0" b="0"/>
            <wp:wrapSquare wrapText="bothSides" distT="0" distB="0" distL="114300" distR="114300"/>
            <wp:docPr id="7" name="image09.png" descr="C:\Users\ufc\Desktop\REVISTA EXTENSÃO EM AÇÃO-JULHO final\logo final.jpg"/>
            <wp:cNvGraphicFramePr/>
            <a:graphic xmlns:a="http://schemas.openxmlformats.org/drawingml/2006/main">
              <a:graphicData uri="http://schemas.openxmlformats.org/drawingml/2006/picture">
                <pic:pic xmlns:pic="http://schemas.openxmlformats.org/drawingml/2006/picture">
                  <pic:nvPicPr>
                    <pic:cNvPr id="0" name="image09.png" descr="C:\Users\ufc\Desktop\REVISTA EXTENSÃO EM AÇÃO-JULHO final\logo final.jpg"/>
                    <pic:cNvPicPr preferRelativeResize="0"/>
                  </pic:nvPicPr>
                  <pic:blipFill>
                    <a:blip r:embed="rId8"/>
                    <a:srcRect/>
                    <a:stretch>
                      <a:fillRect/>
                    </a:stretch>
                  </pic:blipFill>
                  <pic:spPr>
                    <a:xfrm>
                      <a:off x="0" y="0"/>
                      <a:ext cx="2324100" cy="685800"/>
                    </a:xfrm>
                    <a:prstGeom prst="rect">
                      <a:avLst/>
                    </a:prstGeom>
                    <a:ln/>
                  </pic:spPr>
                </pic:pic>
              </a:graphicData>
            </a:graphic>
          </wp:anchor>
        </w:drawing>
      </w:r>
      <w:r w:rsidR="005071F2">
        <w:rPr>
          <w:rFonts w:ascii="Times New Roman" w:eastAsia="Times New Roman" w:hAnsi="Times New Roman" w:cs="Times New Roman"/>
          <w:color w:val="548DD4"/>
        </w:rPr>
        <w:t>ÁREA</w:t>
      </w:r>
      <w:r w:rsidR="00323088">
        <w:rPr>
          <w:rFonts w:ascii="Times New Roman" w:eastAsia="Times New Roman" w:hAnsi="Times New Roman" w:cs="Times New Roman"/>
          <w:color w:val="548DD4"/>
        </w:rPr>
        <w:t xml:space="preserve"> Administração</w:t>
      </w:r>
      <w:r w:rsidR="005071F2">
        <w:rPr>
          <w:rFonts w:ascii="Times New Roman" w:eastAsia="Times New Roman" w:hAnsi="Times New Roman" w:cs="Times New Roman"/>
          <w:color w:val="548DD4"/>
        </w:rPr>
        <w:t xml:space="preserve"> </w:t>
      </w:r>
      <w:r w:rsidR="00975883">
        <w:rPr>
          <w:noProof/>
        </w:rPr>
        <w:drawing>
          <wp:anchor distT="0" distB="0" distL="0" distR="0" simplePos="0" relativeHeight="251661312" behindDoc="0" locked="0" layoutInCell="0" allowOverlap="1">
            <wp:simplePos x="0" y="0"/>
            <wp:positionH relativeFrom="margin">
              <wp:posOffset>-73024</wp:posOffset>
            </wp:positionH>
            <wp:positionV relativeFrom="paragraph">
              <wp:posOffset>395605</wp:posOffset>
            </wp:positionV>
            <wp:extent cx="6184900" cy="6350"/>
            <wp:effectExtent l="0" t="0" r="0" b="0"/>
            <wp:wrapSquare wrapText="bothSides" distT="0" distB="0" distL="0" distR="0"/>
            <wp:docPr id="1"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9"/>
                    <a:srcRect/>
                    <a:stretch>
                      <a:fillRect/>
                    </a:stretch>
                  </pic:blipFill>
                  <pic:spPr>
                    <a:xfrm>
                      <a:off x="0" y="0"/>
                      <a:ext cx="6184900" cy="6350"/>
                    </a:xfrm>
                    <a:prstGeom prst="rect">
                      <a:avLst/>
                    </a:prstGeom>
                    <a:ln/>
                  </pic:spPr>
                </pic:pic>
              </a:graphicData>
            </a:graphic>
          </wp:anchor>
        </w:drawing>
      </w:r>
    </w:p>
    <w:p w:rsidR="00975883" w:rsidRDefault="00975883" w:rsidP="00975883">
      <w:pPr>
        <w:pStyle w:val="Normal1"/>
        <w:spacing w:after="0" w:line="240" w:lineRule="auto"/>
        <w:jc w:val="center"/>
        <w:rPr>
          <w:rFonts w:ascii="Times New Roman" w:eastAsia="Times New Roman" w:hAnsi="Times New Roman" w:cs="Times New Roman"/>
          <w:b/>
        </w:rPr>
      </w:pPr>
      <w:bookmarkStart w:id="0" w:name="_gjdgxs" w:colFirst="0" w:colLast="0"/>
      <w:bookmarkEnd w:id="0"/>
    </w:p>
    <w:p w:rsidR="00975883" w:rsidRDefault="007C1248" w:rsidP="00975883">
      <w:pPr>
        <w:pStyle w:val="Normal1"/>
        <w:spacing w:after="0" w:line="240" w:lineRule="auto"/>
        <w:jc w:val="center"/>
        <w:rPr>
          <w:rFonts w:ascii="Times New Roman" w:eastAsia="Times New Roman" w:hAnsi="Times New Roman" w:cs="Times New Roman"/>
          <w:sz w:val="28"/>
          <w:szCs w:val="28"/>
        </w:rPr>
      </w:pPr>
      <w:r w:rsidRPr="007C1248">
        <w:rPr>
          <w:rFonts w:ascii="Times New Roman" w:hAnsi="Times New Roman" w:cs="Times New Roman"/>
          <w:b/>
          <w:sz w:val="28"/>
          <w:szCs w:val="28"/>
        </w:rPr>
        <w:t>“P” DE PESSOAS EM FOCO:</w:t>
      </w:r>
      <w:r>
        <w:rPr>
          <w:rFonts w:ascii="Times New Roman" w:hAnsi="Times New Roman" w:cs="Times New Roman"/>
          <w:b/>
          <w:sz w:val="28"/>
          <w:szCs w:val="28"/>
        </w:rPr>
        <w:t xml:space="preserve"> </w:t>
      </w:r>
      <w:r>
        <w:rPr>
          <w:rFonts w:ascii="Times New Roman" w:hAnsi="Times New Roman" w:cs="Times New Roman"/>
          <w:sz w:val="28"/>
          <w:szCs w:val="28"/>
        </w:rPr>
        <w:t xml:space="preserve">O MARKETING E A QUALIDADE DE VIDA NO TRABALHO </w:t>
      </w:r>
      <w:r w:rsidR="00C524A3">
        <w:rPr>
          <w:rFonts w:ascii="Times New Roman" w:hAnsi="Times New Roman" w:cs="Times New Roman"/>
          <w:sz w:val="28"/>
          <w:szCs w:val="28"/>
        </w:rPr>
        <w:t xml:space="preserve">NA UFMG </w:t>
      </w:r>
    </w:p>
    <w:p w:rsidR="006B2D85" w:rsidRDefault="006B2D85" w:rsidP="00975883">
      <w:pPr>
        <w:pStyle w:val="Normal1"/>
        <w:spacing w:after="0" w:line="240" w:lineRule="auto"/>
        <w:jc w:val="center"/>
        <w:rPr>
          <w:rFonts w:ascii="Times New Roman" w:eastAsia="Times New Roman" w:hAnsi="Times New Roman" w:cs="Times New Roman"/>
          <w:sz w:val="28"/>
          <w:szCs w:val="28"/>
        </w:rPr>
      </w:pPr>
    </w:p>
    <w:p w:rsidR="00975883" w:rsidRDefault="00975883" w:rsidP="00975883">
      <w:pPr>
        <w:pStyle w:val="Normal1"/>
        <w:spacing w:after="0" w:line="240" w:lineRule="auto"/>
        <w:jc w:val="center"/>
        <w:rPr>
          <w:rFonts w:ascii="Times New Roman" w:eastAsia="Times New Roman" w:hAnsi="Times New Roman" w:cs="Times New Roman"/>
          <w:b/>
          <w:color w:val="FF0000"/>
          <w:sz w:val="18"/>
          <w:szCs w:val="18"/>
        </w:rPr>
      </w:pPr>
      <w:bookmarkStart w:id="1" w:name="_GoBack"/>
      <w:bookmarkEnd w:id="1"/>
      <w:r>
        <w:rPr>
          <w:rFonts w:ascii="Times New Roman" w:eastAsia="Times New Roman" w:hAnsi="Times New Roman" w:cs="Times New Roman"/>
          <w:noProof/>
        </w:rPr>
        <w:drawing>
          <wp:anchor distT="0" distB="0" distL="114300" distR="114300" simplePos="0" relativeHeight="251662336" behindDoc="1" locked="0" layoutInCell="0" allowOverlap="1">
            <wp:simplePos x="0" y="0"/>
            <wp:positionH relativeFrom="margin">
              <wp:posOffset>-109855</wp:posOffset>
            </wp:positionH>
            <wp:positionV relativeFrom="paragraph">
              <wp:posOffset>89535</wp:posOffset>
            </wp:positionV>
            <wp:extent cx="9525" cy="9525"/>
            <wp:effectExtent l="19050" t="0" r="28575" b="9525"/>
            <wp:wrapNone/>
            <wp:docPr id="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0"/>
                    <a:stretch>
                      <a:fillRect/>
                    </a:stretch>
                  </pic:blipFill>
                  <pic:spPr>
                    <a:xfrm>
                      <a:off x="0" y="0"/>
                      <a:ext cx="9525" cy="9525"/>
                    </a:xfrm>
                    <a:prstGeom prst="rect">
                      <a:avLst/>
                    </a:prstGeom>
                    <a:solidFill>
                      <a:schemeClr val="accent1">
                        <a:lumMod val="60000"/>
                        <a:lumOff val="40000"/>
                      </a:schemeClr>
                    </a:solidFill>
                    <a:ln>
                      <a:solidFill>
                        <a:schemeClr val="accent1">
                          <a:lumMod val="50000"/>
                          <a:alpha val="0"/>
                        </a:schemeClr>
                      </a:solidFill>
                    </a:ln>
                  </pic:spPr>
                </pic:pic>
              </a:graphicData>
            </a:graphic>
          </wp:anchor>
        </w:drawing>
      </w:r>
    </w:p>
    <w:p w:rsidR="00323088" w:rsidRDefault="00323088" w:rsidP="00975883">
      <w:pPr>
        <w:pStyle w:val="Normal1"/>
        <w:jc w:val="center"/>
        <w:rPr>
          <w:rFonts w:ascii="Times New Roman" w:eastAsia="Times New Roman" w:hAnsi="Times New Roman" w:cs="Times New Roman"/>
          <w:b/>
          <w:color w:val="FF0000"/>
          <w:sz w:val="18"/>
          <w:szCs w:val="18"/>
        </w:rPr>
      </w:pPr>
    </w:p>
    <w:p w:rsidR="00975883" w:rsidRDefault="00A87DB6" w:rsidP="00975883">
      <w:pPr>
        <w:pStyle w:val="Normal1"/>
        <w:jc w:val="center"/>
        <w:rPr>
          <w:rFonts w:ascii="Times New Roman" w:eastAsia="Times New Roman" w:hAnsi="Times New Roman" w:cs="Times New Roman"/>
          <w:sz w:val="20"/>
          <w:szCs w:val="20"/>
        </w:rPr>
      </w:pPr>
      <w:r w:rsidRPr="00323088">
        <w:rPr>
          <w:noProof/>
          <w:highlight w:val="yellow"/>
        </w:rPr>
        <mc:AlternateContent>
          <mc:Choice Requires="wps">
            <w:drawing>
              <wp:anchor distT="0" distB="0" distL="114300" distR="114300" simplePos="0" relativeHeight="251664384" behindDoc="0" locked="0" layoutInCell="1" allowOverlap="1">
                <wp:simplePos x="0" y="0"/>
                <wp:positionH relativeFrom="column">
                  <wp:posOffset>-81280</wp:posOffset>
                </wp:positionH>
                <wp:positionV relativeFrom="paragraph">
                  <wp:posOffset>179705</wp:posOffset>
                </wp:positionV>
                <wp:extent cx="6057900" cy="0"/>
                <wp:effectExtent l="9525" t="13335" r="9525" b="57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chemeClr val="accent1">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0199A" id="_x0000_t32" coordsize="21600,21600" o:spt="32" o:oned="t" path="m,l21600,21600e" filled="f">
                <v:path arrowok="t" fillok="f" o:connecttype="none"/>
                <o:lock v:ext="edit" shapetype="t"/>
              </v:shapetype>
              <v:shape id="AutoShape 5" o:spid="_x0000_s1026" type="#_x0000_t32" style="position:absolute;margin-left:-6.4pt;margin-top:14.15pt;width:47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" strokecolor="#95b3d7 [1940]"/>
            </w:pict>
          </mc:Fallback>
        </mc:AlternateContent>
      </w:r>
      <w:r w:rsidR="00975883" w:rsidRPr="00323088">
        <w:rPr>
          <w:rFonts w:ascii="Times New Roman" w:eastAsia="Times New Roman" w:hAnsi="Times New Roman" w:cs="Times New Roman"/>
          <w:sz w:val="20"/>
          <w:szCs w:val="20"/>
          <w:highlight w:val="yellow"/>
        </w:rPr>
        <w:t>Artigo submetido em Julho/2016 e aceito em Outubro/2016</w:t>
      </w:r>
    </w:p>
    <w:p w:rsidR="00975883" w:rsidRDefault="00975883" w:rsidP="00975883">
      <w:pPr>
        <w:pStyle w:val="Norm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RESUMO</w:t>
      </w:r>
    </w:p>
    <w:p w:rsidR="00975883" w:rsidRDefault="00975883" w:rsidP="00975883">
      <w:pPr>
        <w:pStyle w:val="Normal1"/>
        <w:rPr>
          <w:rFonts w:ascii="Times New Roman" w:eastAsia="Times New Roman" w:hAnsi="Times New Roman" w:cs="Times New Roman"/>
          <w:sz w:val="20"/>
          <w:szCs w:val="20"/>
        </w:rPr>
        <w:sectPr w:rsidR="00975883" w:rsidSect="00975883">
          <w:headerReference w:type="default" r:id="rId11"/>
          <w:footerReference w:type="default" r:id="rId12"/>
          <w:footerReference w:type="first" r:id="rId13"/>
          <w:pgSz w:w="11906" w:h="16838"/>
          <w:pgMar w:top="1327" w:right="1276" w:bottom="777" w:left="1418" w:header="0" w:footer="720" w:gutter="0"/>
          <w:pgNumType w:start="1"/>
          <w:cols w:space="720"/>
          <w:titlePg/>
        </w:sectPr>
      </w:pPr>
    </w:p>
    <w:p w:rsidR="007C1248" w:rsidRPr="007C1248" w:rsidRDefault="007C1248" w:rsidP="007C1248">
      <w:pPr>
        <w:spacing w:after="0" w:line="240" w:lineRule="auto"/>
        <w:jc w:val="both"/>
        <w:rPr>
          <w:rFonts w:ascii="Times New Roman" w:hAnsi="Times New Roman" w:cs="Times New Roman"/>
          <w:sz w:val="20"/>
          <w:szCs w:val="20"/>
        </w:rPr>
      </w:pPr>
      <w:r w:rsidRPr="007C1248">
        <w:rPr>
          <w:rFonts w:ascii="Times New Roman" w:hAnsi="Times New Roman" w:cs="Times New Roman"/>
          <w:sz w:val="20"/>
          <w:szCs w:val="20"/>
        </w:rPr>
        <w:t xml:space="preserve">Esse artigo visa demonstrar a utilidade dos dados relacionados a afastamentos para uma visão mais ampliada em relação à promoção da saúde e políticas de QVT nos órgãos públicos, a partir do marketing de relacionamento com o público interno. Para tanto, buscou-se identificar as causas de afastamento, segundo a CID, além de verificar os cargos de maior risco ou maior incidência de afastamentos por CID. A pesquisa é quantitativa, a partir de dados secundários coletados das Fichas dos Atendimentos a servidores da </w:t>
      </w:r>
      <w:r w:rsidRPr="007C1248">
        <w:rPr>
          <w:rFonts w:ascii="Times New Roman" w:hAnsi="Times New Roman" w:cs="Times New Roman"/>
          <w:sz w:val="20"/>
          <w:szCs w:val="20"/>
        </w:rPr>
        <w:t>UFMG, realizados entre abril a junho de 2014, no Departamento de Atenção à Saúde do Trabalhador. Os resultados demonstraram que o número de dias de afastamento é crítico e os profissionais de enfermagem foram os que mais afastaram no período e por fatores que influenciam a saúde e o contato com serviços de saúde. Tais informações podem servir como base para o desenvolvimento de ações de QVT direcionadas.</w:t>
      </w:r>
    </w:p>
    <w:p w:rsidR="00975883" w:rsidRDefault="00975883" w:rsidP="00975883">
      <w:pPr>
        <w:pStyle w:val="Normal1"/>
        <w:ind w:right="-1"/>
        <w:jc w:val="both"/>
        <w:rPr>
          <w:rFonts w:ascii="Times New Roman" w:eastAsia="Times New Roman" w:hAnsi="Times New Roman" w:cs="Times New Roman"/>
          <w:sz w:val="20"/>
          <w:szCs w:val="20"/>
        </w:rPr>
      </w:pPr>
    </w:p>
    <w:p w:rsidR="00975883" w:rsidRDefault="00975883" w:rsidP="00975883">
      <w:pPr>
        <w:pStyle w:val="Normal1"/>
        <w:spacing w:after="0" w:line="240" w:lineRule="auto"/>
        <w:jc w:val="both"/>
        <w:rPr>
          <w:rFonts w:ascii="Times New Roman" w:eastAsia="Times New Roman" w:hAnsi="Times New Roman" w:cs="Times New Roman"/>
          <w:b/>
          <w:sz w:val="19"/>
          <w:szCs w:val="19"/>
        </w:rPr>
        <w:sectPr w:rsidR="00975883" w:rsidSect="00975883">
          <w:type w:val="continuous"/>
          <w:pgSz w:w="11906" w:h="16838"/>
          <w:pgMar w:top="1327" w:right="1276" w:bottom="777" w:left="1418" w:header="0" w:footer="720" w:gutter="0"/>
          <w:pgNumType w:start="1"/>
          <w:cols w:num="2" w:space="424"/>
          <w:titlePg/>
        </w:sectPr>
      </w:pPr>
    </w:p>
    <w:p w:rsidR="00323088" w:rsidRDefault="00323088" w:rsidP="00975883">
      <w:pPr>
        <w:pStyle w:val="Normal1"/>
        <w:spacing w:after="0" w:line="240" w:lineRule="auto"/>
        <w:jc w:val="both"/>
        <w:rPr>
          <w:rFonts w:ascii="Times New Roman" w:eastAsia="Times New Roman" w:hAnsi="Times New Roman" w:cs="Times New Roman"/>
          <w:b/>
          <w:sz w:val="19"/>
          <w:szCs w:val="19"/>
        </w:rPr>
      </w:pPr>
    </w:p>
    <w:p w:rsidR="00975883" w:rsidRDefault="006B2D85" w:rsidP="00975883">
      <w:pPr>
        <w:pStyle w:val="Normal1"/>
        <w:spacing w:after="0" w:line="240" w:lineRule="auto"/>
        <w:jc w:val="both"/>
        <w:rPr>
          <w:rFonts w:ascii="Times New Roman" w:eastAsia="Times New Roman" w:hAnsi="Times New Roman" w:cs="Times New Roman"/>
          <w:b/>
          <w:sz w:val="19"/>
          <w:szCs w:val="19"/>
        </w:rPr>
      </w:pPr>
      <w:r>
        <w:rPr>
          <w:rFonts w:ascii="Times New Roman" w:eastAsia="Times New Roman" w:hAnsi="Times New Roman" w:cs="Times New Roman"/>
          <w:b/>
          <w:noProof/>
          <w:sz w:val="19"/>
          <w:szCs w:val="19"/>
        </w:rPr>
        <w:drawing>
          <wp:anchor distT="0" distB="0" distL="0" distR="0" simplePos="0" relativeHeight="251665408" behindDoc="1" locked="0" layoutInCell="0" allowOverlap="1">
            <wp:simplePos x="0" y="0"/>
            <wp:positionH relativeFrom="margin">
              <wp:posOffset>-33655</wp:posOffset>
            </wp:positionH>
            <wp:positionV relativeFrom="paragraph">
              <wp:posOffset>112395</wp:posOffset>
            </wp:positionV>
            <wp:extent cx="6048375" cy="219075"/>
            <wp:effectExtent l="19050" t="0" r="9525" b="0"/>
            <wp:wrapNone/>
            <wp:docPr id="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4" cstate="print"/>
                    <a:srcRect/>
                    <a:stretch>
                      <a:fillRect/>
                    </a:stretch>
                  </pic:blipFill>
                  <pic:spPr>
                    <a:xfrm>
                      <a:off x="0" y="0"/>
                      <a:ext cx="6048375" cy="219075"/>
                    </a:xfrm>
                    <a:prstGeom prst="rect">
                      <a:avLst/>
                    </a:prstGeom>
                    <a:ln/>
                  </pic:spPr>
                </pic:pic>
              </a:graphicData>
            </a:graphic>
          </wp:anchor>
        </w:drawing>
      </w:r>
    </w:p>
    <w:p w:rsidR="00975883" w:rsidRDefault="00975883" w:rsidP="00975883">
      <w:pPr>
        <w:pStyle w:val="Normal1"/>
        <w:spacing w:after="0" w:line="36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 PALAVRAS-CHAVE:</w:t>
      </w:r>
      <w:r>
        <w:rPr>
          <w:rFonts w:ascii="Times New Roman" w:eastAsia="Times New Roman" w:hAnsi="Times New Roman" w:cs="Times New Roman"/>
          <w:sz w:val="19"/>
          <w:szCs w:val="19"/>
        </w:rPr>
        <w:t xml:space="preserve"> </w:t>
      </w:r>
      <w:r w:rsidR="007C1248" w:rsidRPr="007C1248">
        <w:rPr>
          <w:rFonts w:ascii="Times New Roman" w:hAnsi="Times New Roman" w:cs="Times New Roman"/>
          <w:sz w:val="19"/>
          <w:szCs w:val="19"/>
        </w:rPr>
        <w:t>Pessoas. Qualidade de Vida no Trabalho. Afastamento. Atenção à Saúde do Trabalhador.</w:t>
      </w:r>
    </w:p>
    <w:p w:rsidR="00975883" w:rsidRDefault="00975883" w:rsidP="00975883">
      <w:pPr>
        <w:pStyle w:val="Normal1"/>
        <w:spacing w:after="0" w:line="360" w:lineRule="auto"/>
        <w:jc w:val="center"/>
        <w:rPr>
          <w:rFonts w:ascii="Times New Roman" w:eastAsia="Times New Roman" w:hAnsi="Times New Roman" w:cs="Times New Roman"/>
          <w:b/>
        </w:rPr>
      </w:pPr>
    </w:p>
    <w:p w:rsidR="00975883" w:rsidRPr="00EF3FA2" w:rsidRDefault="00323088" w:rsidP="00975883">
      <w:pPr>
        <w:pStyle w:val="Normal1"/>
        <w:spacing w:after="0"/>
        <w:jc w:val="center"/>
        <w:rPr>
          <w:rFonts w:ascii="Times New Roman" w:eastAsia="Times New Roman" w:hAnsi="Times New Roman" w:cs="Times New Roman"/>
          <w:b/>
          <w:sz w:val="28"/>
          <w:szCs w:val="28"/>
          <w:lang w:val="en-US"/>
        </w:rPr>
      </w:pPr>
      <w:r w:rsidRPr="00EF3FA2">
        <w:rPr>
          <w:rFonts w:ascii="Times New Roman" w:eastAsia="Times New Roman" w:hAnsi="Times New Roman" w:cs="Times New Roman"/>
          <w:b/>
          <w:sz w:val="28"/>
          <w:szCs w:val="28"/>
          <w:lang w:val="en-US"/>
        </w:rPr>
        <w:t xml:space="preserve">"P" OF PEOPLE IN FOCUS: </w:t>
      </w:r>
      <w:r w:rsidRPr="00EF3FA2">
        <w:rPr>
          <w:rFonts w:ascii="Times New Roman" w:eastAsia="Times New Roman" w:hAnsi="Times New Roman" w:cs="Times New Roman"/>
          <w:sz w:val="28"/>
          <w:szCs w:val="28"/>
          <w:lang w:val="en-US"/>
        </w:rPr>
        <w:t>MARKETING AND THE QUALITY OF LIFE AT WORK IN UFMG</w:t>
      </w:r>
    </w:p>
    <w:p w:rsidR="00975883" w:rsidRPr="00EF3FA2" w:rsidRDefault="00975883" w:rsidP="00975883">
      <w:pPr>
        <w:pStyle w:val="Normal1"/>
        <w:spacing w:after="0"/>
        <w:ind w:right="-2938"/>
        <w:rPr>
          <w:rFonts w:ascii="Times New Roman" w:eastAsia="Times New Roman" w:hAnsi="Times New Roman" w:cs="Times New Roman"/>
          <w:sz w:val="20"/>
          <w:szCs w:val="20"/>
          <w:lang w:val="en-US"/>
        </w:rPr>
      </w:pPr>
    </w:p>
    <w:p w:rsidR="00975883" w:rsidRPr="00EF3FA2" w:rsidRDefault="00975883" w:rsidP="00975883">
      <w:pPr>
        <w:pStyle w:val="Normal1"/>
        <w:spacing w:after="0" w:line="240" w:lineRule="auto"/>
        <w:rPr>
          <w:rFonts w:ascii="Times New Roman" w:eastAsia="Times New Roman" w:hAnsi="Times New Roman" w:cs="Times New Roman"/>
          <w:b/>
          <w:sz w:val="20"/>
          <w:szCs w:val="20"/>
          <w:lang w:val="en-US"/>
        </w:rPr>
      </w:pPr>
      <w:r w:rsidRPr="00EF3FA2">
        <w:rPr>
          <w:rFonts w:ascii="Times New Roman" w:eastAsia="Times New Roman" w:hAnsi="Times New Roman" w:cs="Times New Roman"/>
          <w:b/>
          <w:sz w:val="20"/>
          <w:szCs w:val="20"/>
          <w:lang w:val="en-US"/>
        </w:rPr>
        <w:t>ABSTRACT</w:t>
      </w:r>
    </w:p>
    <w:p w:rsidR="00975883" w:rsidRPr="00EF3FA2" w:rsidRDefault="00975883" w:rsidP="00975883">
      <w:pPr>
        <w:pStyle w:val="Normal1"/>
        <w:spacing w:after="0" w:line="240" w:lineRule="auto"/>
        <w:rPr>
          <w:rFonts w:ascii="Times New Roman" w:eastAsia="Times New Roman" w:hAnsi="Times New Roman" w:cs="Times New Roman"/>
          <w:b/>
          <w:sz w:val="20"/>
          <w:szCs w:val="20"/>
          <w:lang w:val="en-US"/>
        </w:rPr>
      </w:pPr>
    </w:p>
    <w:p w:rsidR="00975883" w:rsidRPr="00EF3FA2" w:rsidRDefault="00975883" w:rsidP="00975883">
      <w:pPr>
        <w:pStyle w:val="Normal1"/>
        <w:spacing w:after="0" w:line="240" w:lineRule="auto"/>
        <w:rPr>
          <w:rFonts w:ascii="Times New Roman" w:eastAsia="Times New Roman" w:hAnsi="Times New Roman" w:cs="Times New Roman"/>
          <w:sz w:val="20"/>
          <w:szCs w:val="20"/>
          <w:lang w:val="en-US"/>
        </w:rPr>
        <w:sectPr w:rsidR="00975883" w:rsidRPr="00EF3FA2" w:rsidSect="00975883">
          <w:type w:val="continuous"/>
          <w:pgSz w:w="11906" w:h="16838"/>
          <w:pgMar w:top="1327" w:right="1276" w:bottom="777" w:left="1418" w:header="0" w:footer="720" w:gutter="0"/>
          <w:pgNumType w:start="1"/>
          <w:cols w:space="720"/>
          <w:titlePg/>
        </w:sectPr>
      </w:pPr>
    </w:p>
    <w:p w:rsidR="00C524A3" w:rsidRPr="00EF3FA2" w:rsidRDefault="00C524A3" w:rsidP="00C524A3">
      <w:pPr>
        <w:spacing w:after="0" w:line="240" w:lineRule="auto"/>
        <w:jc w:val="both"/>
        <w:rPr>
          <w:rFonts w:ascii="Times New Roman" w:hAnsi="Times New Roman" w:cs="Times New Roman"/>
          <w:sz w:val="20"/>
          <w:szCs w:val="20"/>
          <w:lang w:val="en-US"/>
        </w:rPr>
      </w:pPr>
      <w:r w:rsidRPr="00EF3FA2">
        <w:rPr>
          <w:rFonts w:ascii="Times New Roman" w:hAnsi="Times New Roman" w:cs="Times New Roman"/>
          <w:sz w:val="20"/>
          <w:szCs w:val="20"/>
          <w:lang w:val="en-US"/>
        </w:rPr>
        <w:t xml:space="preserve">This article aims to demonstrate the </w:t>
      </w:r>
      <w:r w:rsidR="007667BD">
        <w:rPr>
          <w:rFonts w:ascii="Times New Roman" w:hAnsi="Times New Roman" w:cs="Times New Roman"/>
          <w:sz w:val="20"/>
          <w:szCs w:val="20"/>
          <w:lang w:val="en-US"/>
        </w:rPr>
        <w:t>utility</w:t>
      </w:r>
      <w:r w:rsidRPr="00EF3FA2">
        <w:rPr>
          <w:rFonts w:ascii="Times New Roman" w:hAnsi="Times New Roman" w:cs="Times New Roman"/>
          <w:sz w:val="20"/>
          <w:szCs w:val="20"/>
          <w:lang w:val="en-US"/>
        </w:rPr>
        <w:t xml:space="preserve"> of </w:t>
      </w:r>
      <w:r w:rsidR="00191955" w:rsidRPr="00EF3FA2">
        <w:rPr>
          <w:rFonts w:ascii="Times New Roman" w:hAnsi="Times New Roman" w:cs="Times New Roman"/>
          <w:sz w:val="20"/>
          <w:szCs w:val="20"/>
          <w:lang w:val="en-US"/>
        </w:rPr>
        <w:t xml:space="preserve">related </w:t>
      </w:r>
      <w:r w:rsidRPr="00EF3FA2">
        <w:rPr>
          <w:rFonts w:ascii="Times New Roman" w:hAnsi="Times New Roman" w:cs="Times New Roman"/>
          <w:sz w:val="20"/>
          <w:szCs w:val="20"/>
          <w:lang w:val="en-US"/>
        </w:rPr>
        <w:t xml:space="preserve">data </w:t>
      </w:r>
      <w:r w:rsidR="00191955">
        <w:rPr>
          <w:rFonts w:ascii="Times New Roman" w:hAnsi="Times New Roman" w:cs="Times New Roman"/>
          <w:sz w:val="20"/>
          <w:szCs w:val="20"/>
          <w:lang w:val="en-US"/>
        </w:rPr>
        <w:t>removal</w:t>
      </w:r>
      <w:r w:rsidRPr="00EF3FA2">
        <w:rPr>
          <w:rFonts w:ascii="Times New Roman" w:hAnsi="Times New Roman" w:cs="Times New Roman"/>
          <w:sz w:val="20"/>
          <w:szCs w:val="20"/>
          <w:lang w:val="en-US"/>
        </w:rPr>
        <w:t xml:space="preserve"> to a broader view regarding the promotion of health and QLW policies in public agencies, based on the relationship marketing with the internal public. In order to do so, it was sought to identify the causes of withdrawal, according to the ICD, as well as to verify the positions of higher risk or higher incidence of departures by ICD. The research is quantitative, based on secondary data collected from the Counsels of </w:t>
      </w:r>
      <w:r w:rsidRPr="00EF3FA2">
        <w:rPr>
          <w:rFonts w:ascii="Times New Roman" w:hAnsi="Times New Roman" w:cs="Times New Roman"/>
          <w:sz w:val="20"/>
          <w:szCs w:val="20"/>
          <w:lang w:val="en-US"/>
        </w:rPr>
        <w:t>Attendance to UFMG servers, held between April and June 2014, in the Department of Attention to Workers' Health. The results showed that the number of days of leave is critical and the nursing professionals were the ones that moved further in the period and by factors that influence health and contact with health services. Such information can serve as a basis for the development of targeted QLW actions.</w:t>
      </w:r>
    </w:p>
    <w:p w:rsidR="00975883" w:rsidRPr="00EF3FA2" w:rsidRDefault="00975883" w:rsidP="00975883">
      <w:pPr>
        <w:pStyle w:val="Normal1"/>
        <w:spacing w:after="0" w:line="240" w:lineRule="auto"/>
        <w:jc w:val="both"/>
        <w:rPr>
          <w:rFonts w:ascii="Times New Roman" w:eastAsia="Times New Roman" w:hAnsi="Times New Roman" w:cs="Times New Roman"/>
          <w:sz w:val="20"/>
          <w:szCs w:val="20"/>
          <w:lang w:val="en-US"/>
        </w:rPr>
      </w:pPr>
      <w:r w:rsidRPr="00EF3FA2">
        <w:rPr>
          <w:rFonts w:ascii="Times New Roman" w:eastAsia="Times New Roman" w:hAnsi="Times New Roman" w:cs="Times New Roman"/>
          <w:sz w:val="20"/>
          <w:szCs w:val="20"/>
          <w:highlight w:val="white"/>
          <w:lang w:val="en-US"/>
        </w:rPr>
        <w:t>.</w:t>
      </w:r>
    </w:p>
    <w:p w:rsidR="00975883" w:rsidRPr="00EF3FA2" w:rsidRDefault="00975883" w:rsidP="00975883">
      <w:pPr>
        <w:pStyle w:val="Normal1"/>
        <w:spacing w:after="0" w:line="360" w:lineRule="auto"/>
        <w:ind w:left="-142"/>
        <w:jc w:val="both"/>
        <w:rPr>
          <w:rFonts w:ascii="Times New Roman" w:eastAsia="Times New Roman" w:hAnsi="Times New Roman" w:cs="Times New Roman"/>
          <w:b/>
          <w:sz w:val="19"/>
          <w:szCs w:val="19"/>
          <w:lang w:val="en-US"/>
        </w:rPr>
        <w:sectPr w:rsidR="00975883" w:rsidRPr="00EF3FA2" w:rsidSect="00975883">
          <w:type w:val="continuous"/>
          <w:pgSz w:w="11906" w:h="16838"/>
          <w:pgMar w:top="1327" w:right="1276" w:bottom="777" w:left="1418" w:header="0" w:footer="720" w:gutter="0"/>
          <w:pgNumType w:start="1"/>
          <w:cols w:num="2" w:space="424"/>
          <w:titlePg/>
        </w:sectPr>
      </w:pPr>
    </w:p>
    <w:p w:rsidR="00975883" w:rsidRPr="00EF3FA2" w:rsidRDefault="00975883" w:rsidP="00975883">
      <w:pPr>
        <w:pStyle w:val="Normal1"/>
        <w:spacing w:after="0" w:line="360" w:lineRule="auto"/>
        <w:ind w:left="-142"/>
        <w:jc w:val="both"/>
        <w:rPr>
          <w:rFonts w:ascii="Times New Roman" w:eastAsia="Times New Roman" w:hAnsi="Times New Roman" w:cs="Times New Roman"/>
          <w:b/>
          <w:sz w:val="19"/>
          <w:szCs w:val="19"/>
          <w:lang w:val="en-US"/>
        </w:rPr>
      </w:pPr>
    </w:p>
    <w:p w:rsidR="00975883" w:rsidRPr="00EF3FA2" w:rsidRDefault="00975883" w:rsidP="00975883">
      <w:pPr>
        <w:pStyle w:val="Normal1"/>
        <w:spacing w:after="0" w:line="360" w:lineRule="auto"/>
        <w:ind w:left="-142"/>
        <w:jc w:val="both"/>
        <w:rPr>
          <w:rFonts w:ascii="Times New Roman" w:eastAsia="Times New Roman" w:hAnsi="Times New Roman" w:cs="Times New Roman"/>
          <w:b/>
          <w:sz w:val="19"/>
          <w:szCs w:val="19"/>
          <w:lang w:val="en-US"/>
        </w:rPr>
      </w:pPr>
      <w:r>
        <w:rPr>
          <w:rFonts w:ascii="Times New Roman" w:eastAsia="Times New Roman" w:hAnsi="Times New Roman" w:cs="Times New Roman"/>
          <w:b/>
          <w:noProof/>
          <w:sz w:val="19"/>
          <w:szCs w:val="19"/>
        </w:rPr>
        <w:drawing>
          <wp:anchor distT="0" distB="0" distL="0" distR="0" simplePos="0" relativeHeight="251663360" behindDoc="1" locked="0" layoutInCell="0" allowOverlap="1">
            <wp:simplePos x="0" y="0"/>
            <wp:positionH relativeFrom="margin">
              <wp:posOffset>-109855</wp:posOffset>
            </wp:positionH>
            <wp:positionV relativeFrom="paragraph">
              <wp:posOffset>171450</wp:posOffset>
            </wp:positionV>
            <wp:extent cx="6048375" cy="219075"/>
            <wp:effectExtent l="19050" t="0" r="9525" b="0"/>
            <wp:wrapNone/>
            <wp:docPr id="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4" cstate="print"/>
                    <a:srcRect/>
                    <a:stretch>
                      <a:fillRect/>
                    </a:stretch>
                  </pic:blipFill>
                  <pic:spPr>
                    <a:xfrm>
                      <a:off x="0" y="0"/>
                      <a:ext cx="6048375" cy="219075"/>
                    </a:xfrm>
                    <a:prstGeom prst="rect">
                      <a:avLst/>
                    </a:prstGeom>
                    <a:ln/>
                  </pic:spPr>
                </pic:pic>
              </a:graphicData>
            </a:graphic>
          </wp:anchor>
        </w:drawing>
      </w:r>
    </w:p>
    <w:p w:rsidR="00975883" w:rsidRPr="00EF3FA2" w:rsidRDefault="00975883" w:rsidP="00975883">
      <w:pPr>
        <w:pStyle w:val="Normal1"/>
        <w:spacing w:after="0" w:line="360" w:lineRule="auto"/>
        <w:ind w:left="-142"/>
        <w:jc w:val="both"/>
        <w:rPr>
          <w:lang w:val="en-US"/>
        </w:rPr>
      </w:pPr>
      <w:r w:rsidRPr="00EF3FA2">
        <w:rPr>
          <w:rFonts w:ascii="Times New Roman" w:eastAsia="Times New Roman" w:hAnsi="Times New Roman" w:cs="Times New Roman"/>
          <w:b/>
          <w:sz w:val="19"/>
          <w:szCs w:val="19"/>
          <w:lang w:val="en-US"/>
        </w:rPr>
        <w:t>KEYWORDS:</w:t>
      </w:r>
      <w:r w:rsidRPr="00EF3FA2">
        <w:rPr>
          <w:rFonts w:ascii="Times New Roman" w:eastAsia="Times New Roman" w:hAnsi="Times New Roman" w:cs="Times New Roman"/>
          <w:sz w:val="19"/>
          <w:szCs w:val="19"/>
          <w:lang w:val="en-US"/>
        </w:rPr>
        <w:t xml:space="preserve"> </w:t>
      </w:r>
      <w:r w:rsidR="00C524A3" w:rsidRPr="00EF3FA2">
        <w:rPr>
          <w:rFonts w:ascii="Times New Roman" w:eastAsia="Times New Roman" w:hAnsi="Times New Roman" w:cs="Times New Roman"/>
          <w:sz w:val="19"/>
          <w:szCs w:val="19"/>
          <w:lang w:val="en-US"/>
        </w:rPr>
        <w:t>People. Quality of life at work. Withdrawal. Attention to the Worker’s Health.</w:t>
      </w:r>
    </w:p>
    <w:p w:rsidR="00050CB2" w:rsidRDefault="00050CB2" w:rsidP="00050CB2">
      <w:pPr>
        <w:spacing w:after="0" w:line="240" w:lineRule="auto"/>
        <w:rPr>
          <w:rFonts w:ascii="Times New Roman" w:hAnsi="Times New Roman" w:cs="Times New Roman"/>
          <w:b/>
          <w:color w:val="000000" w:themeColor="text1"/>
          <w:sz w:val="24"/>
          <w:szCs w:val="24"/>
        </w:rPr>
      </w:pPr>
      <w:r w:rsidRPr="00BE18F7">
        <w:rPr>
          <w:rFonts w:ascii="Times New Roman" w:hAnsi="Times New Roman" w:cs="Times New Roman"/>
          <w:b/>
          <w:color w:val="000000" w:themeColor="text1"/>
          <w:sz w:val="24"/>
          <w:szCs w:val="24"/>
        </w:rPr>
        <w:t>1 INTRODUÇÃO</w:t>
      </w:r>
    </w:p>
    <w:p w:rsidR="00050CB2" w:rsidRPr="00BE18F7" w:rsidRDefault="00050CB2" w:rsidP="00050CB2">
      <w:pPr>
        <w:spacing w:after="0" w:line="240" w:lineRule="auto"/>
        <w:rPr>
          <w:rFonts w:ascii="Times New Roman" w:hAnsi="Times New Roman" w:cs="Times New Roman"/>
          <w:b/>
          <w:color w:val="000000" w:themeColor="text1"/>
          <w:sz w:val="24"/>
          <w:szCs w:val="24"/>
        </w:rPr>
      </w:pP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Assim como ocorre no marketing de bens físicos, o marketing de serviços também pode ser analisado sob a ótica do composto do marketing tradicional - denominado Marketing Mix ou </w:t>
      </w:r>
      <w:r w:rsidRPr="00BE18F7">
        <w:rPr>
          <w:rFonts w:ascii="Times New Roman" w:hAnsi="Times New Roman" w:cs="Times New Roman"/>
          <w:color w:val="000000" w:themeColor="text1"/>
          <w:sz w:val="24"/>
          <w:szCs w:val="24"/>
        </w:rPr>
        <w:lastRenderedPageBreak/>
        <w:t xml:space="preserve">‘4Ps’ (Produto, Preço, Praça e Promoção), porém, para abranger as características inerentes aos serviços, é necessária a expansão ou adição de outros ‘3Ps’: Processo, Ambiente Físico (do inglês, </w:t>
      </w:r>
      <w:r w:rsidRPr="00BE18F7">
        <w:rPr>
          <w:rFonts w:ascii="Times New Roman" w:hAnsi="Times New Roman" w:cs="Times New Roman"/>
          <w:i/>
          <w:color w:val="000000" w:themeColor="text1"/>
          <w:sz w:val="24"/>
          <w:szCs w:val="24"/>
        </w:rPr>
        <w:t>Physical Environment)</w:t>
      </w:r>
      <w:r w:rsidRPr="00BE18F7">
        <w:rPr>
          <w:rFonts w:ascii="Times New Roman" w:hAnsi="Times New Roman" w:cs="Times New Roman"/>
          <w:color w:val="000000" w:themeColor="text1"/>
          <w:sz w:val="24"/>
          <w:szCs w:val="24"/>
        </w:rPr>
        <w:t xml:space="preserve"> e Pessoas. A partir da constatação de que “por trás da maioria das organizações de serviços bem-sucedidas está o sério compromisso com a gestão eficaz de Recursos Humanos (RH)” (LOVELOCK; WIRTZ; HEMZO, 2011, p. 340), o ‘P’ de Pessoas ganha destaque especial no composto de marketing de serviços; isso porque, o pessoal de serviços possui importância crucial como fonte de fidelidade de clientes e de vantagem competitiva. Como colocado por Fernandes (1996), o principal fator de competitividade empresarial é o elemento humano.</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Esse artigo visa demonstrar a utilidade dos dados relacionados a afastamentos para uma visão mais ampliada em relação à promoção da saúde e políticas de QVT nos órgãos públicos, a partir do marketing de relacionamento com o público interno. Para tanto, buscou-se identificar as causas de afastamento, segundo a CID, além de verificar os cargos de maior risco ou maior incidência de afastamentos por CID.</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p>
    <w:p w:rsidR="00050CB2" w:rsidRDefault="00050CB2" w:rsidP="00050CB2">
      <w:pPr>
        <w:spacing w:after="0" w:line="360" w:lineRule="auto"/>
        <w:jc w:val="both"/>
        <w:rPr>
          <w:rFonts w:ascii="Times New Roman" w:hAnsi="Times New Roman" w:cs="Times New Roman"/>
          <w:b/>
          <w:color w:val="000000" w:themeColor="text1"/>
          <w:sz w:val="24"/>
          <w:szCs w:val="24"/>
        </w:rPr>
      </w:pPr>
      <w:r w:rsidRPr="00BE18F7">
        <w:rPr>
          <w:rFonts w:ascii="Times New Roman" w:hAnsi="Times New Roman" w:cs="Times New Roman"/>
          <w:b/>
          <w:color w:val="000000" w:themeColor="text1"/>
          <w:sz w:val="24"/>
          <w:szCs w:val="24"/>
        </w:rPr>
        <w:t>2 REFERENCIAL TEÓRICO</w:t>
      </w:r>
    </w:p>
    <w:p w:rsidR="00050CB2" w:rsidRPr="00BE18F7" w:rsidRDefault="00050CB2" w:rsidP="00050CB2">
      <w:pPr>
        <w:spacing w:after="0" w:line="360" w:lineRule="auto"/>
        <w:jc w:val="both"/>
        <w:rPr>
          <w:rFonts w:ascii="Times New Roman" w:hAnsi="Times New Roman" w:cs="Times New Roman"/>
          <w:b/>
          <w:color w:val="000000" w:themeColor="text1"/>
          <w:sz w:val="24"/>
          <w:szCs w:val="24"/>
        </w:rPr>
      </w:pP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A preocupação com o público interno provém da Teoria das Relações Humanas que origina-se dos trabalhos de Mayo (1933) e seus experimentos em Hawthorne. Mayo (1933) implantou um programa de entrevistas que permitiu conhecer as atitudes e sentimentos dos funcionários, ouvir suas opiniões quanto ao trabalho e tratamento que recebiam, bem como ouvir sugestões a respeito do treinamento dos supervisores. As Teorias X e Y de McGregor (1972) também têm destaque na Teoria das Relações Humanas, sobretudo a Teoria Y, formada a partir da acumulação de conhecimentos relativos ao comportamento humano; suas pressuposições são as seguintes: o ser humano não sente aversão ao trabalho, o trabalho pode ser fonte de satisfação; o próprio homem pode exercer autocontrole e se orientar; a mais significativa das recompensas é a satisfação da</w:t>
      </w:r>
      <w:r w:rsidR="00BB0383">
        <w:rPr>
          <w:rFonts w:ascii="Times New Roman" w:hAnsi="Times New Roman" w:cs="Times New Roman"/>
          <w:color w:val="000000" w:themeColor="text1"/>
          <w:sz w:val="24"/>
          <w:szCs w:val="24"/>
        </w:rPr>
        <w:t>s necessidades do ego e de autor</w:t>
      </w:r>
      <w:r w:rsidRPr="00BE18F7">
        <w:rPr>
          <w:rFonts w:ascii="Times New Roman" w:hAnsi="Times New Roman" w:cs="Times New Roman"/>
          <w:color w:val="000000" w:themeColor="text1"/>
          <w:sz w:val="24"/>
          <w:szCs w:val="24"/>
        </w:rPr>
        <w:t>realização; e, a recusa de responsabilidades, a ausência de ambição e a ênfase na segurança não são características inerentes à natureza humana. O princípio central da Teoria Y é a integração: a criação de condições que melhor permitam aos membros da organização realizar as próprias finalidades mediante a orientação dos seus esforços para o êxito da empresa.</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lastRenderedPageBreak/>
        <w:t xml:space="preserve">Tratando, então, do “P” de Pessoas, conforme ressaltado por Lovelock; Wirtz e Hemzo (2011) constitui parte essencial do serviço prestado não apenas porque sob o ponto de vista do cliente ele representa a empresa, como também porque constitui parte essencial da marca, além de seu desempenho ser determinante para as vendas e produtividade. Os autores elencam como atitudes para um ciclo de sucesso o investimento em pessoal a partir do esforço intensificado na seleção, da oferta de salários acima da média, da realização de treinamentos intensivos, descrições de cargos mais amplas e busca da satisfação dos funcionários, em resumo: contratação de pessoas certas, capacitação e motivação. </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Sob o prisma da Lógica Dominante do Serviço - proposta por Lusch e Vargo (2014) -, a visão de bens e serviços como algo distinto é extrapolada para a concepção de tudo como troca de serviço. Destacando que o processo de troca acontece também entre a empresa e o funcionário, que servem-se mutuamente – trocam serviços; então, o “P” de Pessoas pode ganhar ainda mais visibilidade, uma vez que, nessa lógica, os seres humanos servem uns aos outros através da troca, com um único objetivo: o bem estar mútuo. Nesse contexto, surge a Qualidade de Vida no Trabalho (QVT), por se constituir em “área científica do conhecimento interessada em investigar as características do contexto de trabalho que podem ser fontes geradoras de bem-estar e mal-</w:t>
      </w:r>
      <w:r w:rsidR="00EF3FA2">
        <w:rPr>
          <w:rFonts w:ascii="Times New Roman" w:hAnsi="Times New Roman" w:cs="Times New Roman"/>
          <w:color w:val="000000" w:themeColor="text1"/>
          <w:sz w:val="24"/>
          <w:szCs w:val="24"/>
        </w:rPr>
        <w:t>estar” (FERREIRA, 2012, p. 16).</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Mesmo sem fazer uma análise retrospectiva, é possível verificar a evolução do conceito de QVT, a partir da comparação da afirmação acima de Ferreira (2012) e do conceito apresentado por Fernandes (1996, p.43), 16 anos antes, no qual, a partir de uma visão mais restrita, Qualidade de Vida no Trabalho “refere-se a esforços no sentido de melhorar ou humanizar a situação de trabalho, orientados por soluções mais adequadas que visem à reformulação do desenho de cargos, tornando-os mais produtivos em termos de empresa e mais satisfatórios para os executores”. </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O bem-estar citado por Ferreira (2012) é motivação; Lovelock; Wirtz e Hemzo (2011) também tratam da importância da motivação dos colaboradores, entretanto, o que os autores não enfatizam é a tão necessária atenção à saúde desse trabalhador. Pode-se, inclusive afirmar que esta já era uma variável importantíssima desde a teoria de motivação Maslow (1970), que é uma das principais – se não a principal -, sobre a motivação. Motivação refere-se a estímulos a partir de necessidades internas ou externas e que podem ser ocorrer a nível fisiológico ou psicológico que engajam um indivíduo em direção a um objetivo. Maslow (1970) considera o conceito de </w:t>
      </w:r>
      <w:r w:rsidRPr="00BE18F7">
        <w:rPr>
          <w:rFonts w:ascii="Times New Roman" w:hAnsi="Times New Roman" w:cs="Times New Roman"/>
          <w:color w:val="000000" w:themeColor="text1"/>
          <w:sz w:val="24"/>
          <w:szCs w:val="24"/>
        </w:rPr>
        <w:lastRenderedPageBreak/>
        <w:t xml:space="preserve">motivação organizado em prioridades e hierarquia (necessidades fisiológicas, necessidades de segurança, necessidades de pertencimento e amor, necessidades </w:t>
      </w:r>
      <w:r w:rsidR="00F75BD3">
        <w:rPr>
          <w:rFonts w:ascii="Times New Roman" w:hAnsi="Times New Roman" w:cs="Times New Roman"/>
          <w:color w:val="000000" w:themeColor="text1"/>
          <w:sz w:val="24"/>
          <w:szCs w:val="24"/>
        </w:rPr>
        <w:t>de estima, necessidades de autor</w:t>
      </w:r>
      <w:r w:rsidRPr="00BE18F7">
        <w:rPr>
          <w:rFonts w:ascii="Times New Roman" w:hAnsi="Times New Roman" w:cs="Times New Roman"/>
          <w:color w:val="000000" w:themeColor="text1"/>
          <w:sz w:val="24"/>
          <w:szCs w:val="24"/>
        </w:rPr>
        <w:t>realização), sendo que esta hierarquização obedeceria a um escalonamento de níveis no qual se passaria de um nível a outro conforme o nível anterior fosse satisfeito. A saúde do trabalhador, portanto, entra no nível básico e prioritário de atenção antes das demais variáveis.</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A QVT tem ganhado amplo espaço de atenção inclusive no que tange aos Órgãos Públicos Federais, o que pode ser constatado pela recente instituição de Portaria com fins de orientar e incentivar à promoção de qualidade de vida no trabalho – a Portaria Normativa nº3 de 25 de março de 2013, criada pela Secretaria de Gestão Pública (SEGEP) do Ministério do Planejamento, Orçamento e Gestão (MPOG) com diretrizes gerais de promoção da saúde do servidor público federal como referência nas ações de promoção da saúde nos órgãos e entidades do Sistema de Pessoal Civil da Administração Federal (SIPEC). Trata-se de uma ação da Política de Atenção à Saúde e Segurança do Trabalho do Servidor Público Federal (PASS), criada juntamente com o Subsistema Integrado de Atenção à Saúde do Servidor Público Federal - SIASS (BRASIL, 2013).</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Assim como descrito na Portaria Normativa nº 3 (BRASIL, 2013), a base para toda iniciativa de promoção à saúde do servidor deve ser os dados epidemiológicos, bem como as avaliações das condições do ambiente, de segurança e dos processos de trabalho, de modo a gerar informações suficientes para as ações voltadas à educação em saúde, à prevenção de riscos, agravos e danos à saúde do servidor, estímulos de proteção à saúde e controle de doenças. O presente artigo visa demonstrar de forma simplificada a importância ou utilidade dos dados relacionados a afastamentos para uma visão mais ampliada em relação à promoção da saúde nos órgãos públicos sob o prisma do marketing de relacionamento com o público interno que constitui o “P” de Pessoas no marketing de serviços. Para tanto, buscou-se identificar as principais causas de afastamento, segundo a Classificação Internacional de Doenças (CID), verificar os cargos de maior risco ou maior incidência de afastamentos por CID e a relação com a faixa etária e gênero.</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Isso porque, como ressaltado por Ferreira (2012), a Qualidade de Vida no Trabalho (QVT) pode ser concebida a partir de duas abordagens: a assistencialista ou a preventiva. Enquanto o viés assistencialista é caracterizado por um </w:t>
      </w:r>
      <w:r w:rsidR="009643D4">
        <w:rPr>
          <w:rFonts w:ascii="Times New Roman" w:hAnsi="Times New Roman" w:cs="Times New Roman"/>
          <w:color w:val="000000" w:themeColor="text1"/>
          <w:sz w:val="24"/>
          <w:szCs w:val="24"/>
        </w:rPr>
        <w:t>cardápio de variadas atividades –</w:t>
      </w:r>
      <w:r w:rsidRPr="00BE18F7">
        <w:rPr>
          <w:rFonts w:ascii="Times New Roman" w:hAnsi="Times New Roman" w:cs="Times New Roman"/>
          <w:color w:val="000000" w:themeColor="text1"/>
          <w:sz w:val="24"/>
          <w:szCs w:val="24"/>
        </w:rPr>
        <w:t xml:space="preserve"> como dança de salão, reeducação alimentar, vigilantes do peso, administração das finanças pessoais, </w:t>
      </w:r>
      <w:r w:rsidRPr="00BE18F7">
        <w:rPr>
          <w:rFonts w:ascii="Times New Roman" w:hAnsi="Times New Roman" w:cs="Times New Roman"/>
          <w:color w:val="000000" w:themeColor="text1"/>
          <w:sz w:val="24"/>
          <w:szCs w:val="24"/>
        </w:rPr>
        <w:lastRenderedPageBreak/>
        <w:t xml:space="preserve">massagens terapêuticas - com foco em aumentar a resistência física e mental do trabalhador; o viés preventivo como o próprio nome diz, tem o foco na prevenção do mal-estar a partir do diagnóstico e monitoramento das variáveis que constituem a concepção da qualidade de vida no trabalho: condições do trabalho, organização do trabalho, relações socioprofissionais de trabalho, reconhecimento e crescimento profissional e elo trabalho-vida social. Enquanto a visão assistencialista engloba medidas compensatórias dos desgastes vivenciados pelos trabalhadores e paliativas, não atuando nas causas do mal-estar no trabalho; a visão </w:t>
      </w:r>
      <w:r w:rsidR="006B3C02">
        <w:rPr>
          <w:rFonts w:ascii="Times New Roman" w:hAnsi="Times New Roman" w:cs="Times New Roman"/>
          <w:color w:val="000000" w:themeColor="text1"/>
          <w:sz w:val="24"/>
          <w:szCs w:val="24"/>
        </w:rPr>
        <w:t>preventiva deseja antecipar-se a</w:t>
      </w:r>
      <w:r w:rsidRPr="00BE18F7">
        <w:rPr>
          <w:rFonts w:ascii="Times New Roman" w:hAnsi="Times New Roman" w:cs="Times New Roman"/>
          <w:color w:val="000000" w:themeColor="text1"/>
          <w:sz w:val="24"/>
          <w:szCs w:val="24"/>
        </w:rPr>
        <w:t xml:space="preserve"> elas.</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Em análise geral, os indicadores críticos das consequências do mal-estar sobre os trabalhadores envolvem: o absenteísmo crônico, desmotivação dos trabalhadores, baixa produtividade, falta de iniciativa, indisposição, acidentes, doenças do trabalho, licenças saúde, aposentadorias precoces, rotatividade, suicídios. Para a produção, as consequências incluem erros, retrabalho, perda de material, danificação de máquinas, queda de produtividade, perda de qualidade. Os usuários ou clientes também são afetados, considerando-se as queixas, reclamações, insatisfações, ações judiciais, fidelização em risco e a cidadania. (FERREIRA, 2012)</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Especificamente em relação aos servidores públicos federais, Ferreira (2012) ressalta que os dois principais problemas de saúde entre esses servidores públicos envolvem transtornos mentais e comportamentais e casos de doença do sistema osteomuscular. Em relação aos tipos de atividades QVT praticadas por órgãos federais, encontram-se atividades fisio-corporais, eventos coletivos e suporte psicossocial (FERREIRA, 2009). Tratam-se, como Ferreira (2012, p. 96) coloca, de “práticas que visam demonstrar ao trabalhador o quanto a empresa se preocupa com o seu bem-estar no intuito de obter, como contrapartida, um envolvimento mais intenso com o trabalho”.</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p>
    <w:p w:rsidR="00050CB2" w:rsidRPr="00BE18F7" w:rsidRDefault="00050CB2" w:rsidP="00050CB2">
      <w:pPr>
        <w:spacing w:after="0" w:line="360" w:lineRule="auto"/>
        <w:rPr>
          <w:rFonts w:ascii="Times New Roman" w:hAnsi="Times New Roman" w:cs="Times New Roman"/>
          <w:b/>
          <w:color w:val="000000" w:themeColor="text1"/>
          <w:sz w:val="24"/>
          <w:szCs w:val="24"/>
        </w:rPr>
      </w:pPr>
      <w:r w:rsidRPr="00BE18F7">
        <w:rPr>
          <w:rFonts w:ascii="Times New Roman" w:hAnsi="Times New Roman" w:cs="Times New Roman"/>
          <w:b/>
          <w:color w:val="000000" w:themeColor="text1"/>
          <w:sz w:val="24"/>
          <w:szCs w:val="24"/>
        </w:rPr>
        <w:t>3 MATERIAIS E MÉTODOS</w:t>
      </w:r>
    </w:p>
    <w:p w:rsidR="00050CB2" w:rsidRPr="00BE18F7" w:rsidRDefault="00050CB2" w:rsidP="00050CB2">
      <w:pPr>
        <w:spacing w:after="0" w:line="360" w:lineRule="auto"/>
        <w:ind w:firstLine="851"/>
        <w:rPr>
          <w:rFonts w:ascii="Times New Roman" w:hAnsi="Times New Roman" w:cs="Times New Roman"/>
          <w:b/>
          <w:color w:val="000000" w:themeColor="text1"/>
          <w:sz w:val="24"/>
          <w:szCs w:val="24"/>
        </w:rPr>
      </w:pP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Para explorar os objetivos da pesquisa, foi adotada abordagem quantitativa a partir de dados extraídos das Fichas de Registro dos atendimentos realizados no Departamento de Atenção à Saúde o Trabalhador (DAST) da Universidade Federal de Minas Gerais (UFMG), Unidade Centro, localizada em Belo Horizonte. </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lastRenderedPageBreak/>
        <w:t>O DAST UFMG é a primeira unidade SIASS do Estado de Minas Gerais e realiza atividades de assistência (serviço social, psicologia, enfermagem, grupo de reinserção, atendimentos a aposentados, alunos, exames para posse em cargo público) e perícia médica oficial dos servidores públicos federais. Todos esses atendimentos são registrados na Ficha de Registro de Atendimento (FRA), por meio da qual, é possível obter dados sociodemográficos e informações específicas da consulta e perícia. As perícias médicas são realizadas por diversas razões, entre as quais está a perícia para concessão de licença por motivo de saúde do próprio servidor, a partir da constatação de incapacidade laborativa parcial ou total, temporária ou permanente. Para este estudo estão sendo considerados apenas os atendimentos em que se constatou a necessidade de afastamentos.</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Os dados coletados foram analisados e sintetizados para apresentação e interpretação. Os dados selecionados correspondem às perícias realizadas nos servidores UFMG atendidos pela Unidade Centro do DAST, no período de abril de 2014 a junho de 2014, que concederam afastamento. O tamanho efetivo da população foi de 873 elementos (após exclusão dos atendimentos que não geraram afastamentos, dos afastamentos de servidores de outros Órgãos Federais). Os dados foram analisados utilizando o software Action de estatística.</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p>
    <w:p w:rsidR="00050CB2" w:rsidRPr="00BE18F7" w:rsidRDefault="00050CB2" w:rsidP="00050CB2">
      <w:pPr>
        <w:spacing w:after="0" w:line="360" w:lineRule="auto"/>
        <w:rPr>
          <w:rFonts w:ascii="Times New Roman" w:hAnsi="Times New Roman" w:cs="Times New Roman"/>
          <w:b/>
          <w:color w:val="000000" w:themeColor="text1"/>
          <w:sz w:val="24"/>
          <w:szCs w:val="24"/>
        </w:rPr>
      </w:pPr>
      <w:r w:rsidRPr="00BE18F7">
        <w:rPr>
          <w:rFonts w:ascii="Times New Roman" w:hAnsi="Times New Roman" w:cs="Times New Roman"/>
          <w:b/>
          <w:color w:val="000000" w:themeColor="text1"/>
          <w:sz w:val="24"/>
          <w:szCs w:val="24"/>
        </w:rPr>
        <w:t>4 RESULTADOS E DISCUSSÃO</w:t>
      </w:r>
    </w:p>
    <w:p w:rsidR="00050CB2" w:rsidRPr="00BE18F7" w:rsidRDefault="00050CB2" w:rsidP="00050CB2">
      <w:pPr>
        <w:spacing w:after="0" w:line="360" w:lineRule="auto"/>
        <w:ind w:firstLine="851"/>
        <w:rPr>
          <w:rFonts w:ascii="Times New Roman" w:hAnsi="Times New Roman" w:cs="Times New Roman"/>
          <w:color w:val="000000" w:themeColor="text1"/>
          <w:sz w:val="24"/>
          <w:szCs w:val="24"/>
        </w:rPr>
      </w:pPr>
    </w:p>
    <w:p w:rsidR="00050CB2" w:rsidRPr="00BE18F7" w:rsidRDefault="00EF26A3" w:rsidP="00050CB2">
      <w:pPr>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 Tabelas 1 e</w:t>
      </w:r>
      <w:r w:rsidR="008C3234">
        <w:rPr>
          <w:rFonts w:ascii="Times New Roman" w:hAnsi="Times New Roman" w:cs="Times New Roman"/>
          <w:color w:val="000000" w:themeColor="text1"/>
          <w:sz w:val="24"/>
          <w:szCs w:val="24"/>
        </w:rPr>
        <w:t xml:space="preserve"> 2 </w:t>
      </w:r>
      <w:r w:rsidR="00050CB2" w:rsidRPr="00BE18F7">
        <w:rPr>
          <w:rFonts w:ascii="Times New Roman" w:hAnsi="Times New Roman" w:cs="Times New Roman"/>
          <w:color w:val="000000" w:themeColor="text1"/>
          <w:sz w:val="24"/>
          <w:szCs w:val="24"/>
        </w:rPr>
        <w:t xml:space="preserve">apresentam a distribuição de frequência das características-chave da população quanto a gênero, faixa etária e cargo. Quanto a gênero, a maioria absoluta é do sexo feminino (mais de 80% dos servidores periciados). Em relação à faixa etária, aproximadamente 4% dos registros de atendimentos ficou essa informação, entretanto, para não perder as demais informações dos registros, optou-se por sinalizar esta falta de informação pela anotação “não informado”.  </w:t>
      </w:r>
    </w:p>
    <w:p w:rsidR="00050CB2"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Considerando os registros completos, a idade média dos servidores foi de 47 anos. Na Tabela 2 constam as frequências das idades classificadas por grupos faixa etária; aproximadamente 50% da população possuem entre 42 e 53 anos. Em relação ao cargo ocupado, a predominância foi de servidores técnicos em enfermagem. Esta predominância de cargos relacionados à área da saúde deve-se ao perfil do público atendido na Unidade Centro do DAST que fica localizada na área hospitalar e atende em sua maioria, servidores da UFMG lotados no </w:t>
      </w:r>
      <w:r w:rsidRPr="00BE18F7">
        <w:rPr>
          <w:rFonts w:ascii="Times New Roman" w:hAnsi="Times New Roman" w:cs="Times New Roman"/>
          <w:color w:val="000000" w:themeColor="text1"/>
          <w:sz w:val="24"/>
          <w:szCs w:val="24"/>
        </w:rPr>
        <w:lastRenderedPageBreak/>
        <w:t>Hospital das Clínicas, Faculdade de Medicina e Enfermagem.</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p>
    <w:p w:rsidR="00050CB2" w:rsidRPr="00BE18F7" w:rsidRDefault="00050CB2" w:rsidP="00050CB2">
      <w:pPr>
        <w:pStyle w:val="Legenda"/>
        <w:keepNext/>
        <w:rPr>
          <w:rFonts w:ascii="Times New Roman" w:hAnsi="Times New Roman" w:cs="Times New Roman"/>
          <w:color w:val="000000" w:themeColor="text1"/>
        </w:rPr>
      </w:pPr>
      <w:r w:rsidRPr="00BE18F7">
        <w:rPr>
          <w:rFonts w:ascii="Times New Roman" w:hAnsi="Times New Roman" w:cs="Times New Roman"/>
          <w:color w:val="000000" w:themeColor="text1"/>
        </w:rPr>
        <w:t xml:space="preserve">Tabela </w:t>
      </w:r>
      <w:r w:rsidRPr="00BE18F7">
        <w:rPr>
          <w:rFonts w:ascii="Times New Roman" w:hAnsi="Times New Roman" w:cs="Times New Roman"/>
          <w:color w:val="000000" w:themeColor="text1"/>
        </w:rPr>
        <w:fldChar w:fldCharType="begin"/>
      </w:r>
      <w:r w:rsidRPr="00BE18F7">
        <w:rPr>
          <w:rFonts w:ascii="Times New Roman" w:hAnsi="Times New Roman" w:cs="Times New Roman"/>
          <w:color w:val="000000" w:themeColor="text1"/>
        </w:rPr>
        <w:instrText xml:space="preserve"> SEQ Tabela \* ARABIC </w:instrText>
      </w:r>
      <w:r w:rsidRPr="00BE18F7">
        <w:rPr>
          <w:rFonts w:ascii="Times New Roman" w:hAnsi="Times New Roman" w:cs="Times New Roman"/>
          <w:color w:val="000000" w:themeColor="text1"/>
        </w:rPr>
        <w:fldChar w:fldCharType="separate"/>
      </w:r>
      <w:r w:rsidRPr="00BE18F7">
        <w:rPr>
          <w:rFonts w:ascii="Times New Roman" w:hAnsi="Times New Roman" w:cs="Times New Roman"/>
          <w:noProof/>
          <w:color w:val="000000" w:themeColor="text1"/>
        </w:rPr>
        <w:t>1</w:t>
      </w:r>
      <w:r w:rsidRPr="00BE18F7">
        <w:rPr>
          <w:rFonts w:ascii="Times New Roman" w:hAnsi="Times New Roman" w:cs="Times New Roman"/>
          <w:noProof/>
          <w:color w:val="000000" w:themeColor="text1"/>
        </w:rPr>
        <w:fldChar w:fldCharType="end"/>
      </w:r>
      <w:r w:rsidRPr="00BE18F7">
        <w:rPr>
          <w:rFonts w:ascii="Times New Roman" w:hAnsi="Times New Roman" w:cs="Times New Roman"/>
          <w:color w:val="000000" w:themeColor="text1"/>
        </w:rPr>
        <w:t>: Caracterização da População - Gênero</w:t>
      </w:r>
    </w:p>
    <w:tbl>
      <w:tblPr>
        <w:tblW w:w="8782" w:type="dxa"/>
        <w:tblInd w:w="70" w:type="dxa"/>
        <w:tblCellMar>
          <w:left w:w="70" w:type="dxa"/>
          <w:right w:w="70" w:type="dxa"/>
        </w:tblCellMar>
        <w:tblLook w:val="04A0" w:firstRow="1" w:lastRow="0" w:firstColumn="1" w:lastColumn="0" w:noHBand="0" w:noVBand="1"/>
      </w:tblPr>
      <w:tblGrid>
        <w:gridCol w:w="3716"/>
        <w:gridCol w:w="1136"/>
        <w:gridCol w:w="1310"/>
        <w:gridCol w:w="1310"/>
        <w:gridCol w:w="1310"/>
      </w:tblGrid>
      <w:tr w:rsidR="00050CB2" w:rsidRPr="00165ABE" w:rsidTr="00654079">
        <w:trPr>
          <w:trHeight w:val="300"/>
        </w:trPr>
        <w:tc>
          <w:tcPr>
            <w:tcW w:w="3716"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Gênero</w:t>
            </w:r>
          </w:p>
        </w:tc>
        <w:tc>
          <w:tcPr>
            <w:tcW w:w="1136"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Frequências</w:t>
            </w:r>
          </w:p>
        </w:tc>
        <w:tc>
          <w:tcPr>
            <w:tcW w:w="131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 Rel.</w:t>
            </w:r>
          </w:p>
        </w:tc>
        <w:tc>
          <w:tcPr>
            <w:tcW w:w="131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 Perc.</w:t>
            </w:r>
          </w:p>
        </w:tc>
        <w:tc>
          <w:tcPr>
            <w:tcW w:w="131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 Acum.</w:t>
            </w:r>
          </w:p>
        </w:tc>
      </w:tr>
      <w:tr w:rsidR="00050CB2" w:rsidRPr="00165ABE" w:rsidTr="00654079">
        <w:trPr>
          <w:trHeight w:val="300"/>
        </w:trPr>
        <w:tc>
          <w:tcPr>
            <w:tcW w:w="3716"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Feminino</w:t>
            </w:r>
          </w:p>
        </w:tc>
        <w:tc>
          <w:tcPr>
            <w:tcW w:w="1136"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715</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0,819014891</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81,90148912</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81,90148912</w:t>
            </w:r>
          </w:p>
        </w:tc>
      </w:tr>
      <w:tr w:rsidR="00050CB2" w:rsidRPr="00165ABE" w:rsidTr="00654079">
        <w:trPr>
          <w:trHeight w:val="300"/>
        </w:trPr>
        <w:tc>
          <w:tcPr>
            <w:tcW w:w="3716"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Masculino</w:t>
            </w:r>
          </w:p>
        </w:tc>
        <w:tc>
          <w:tcPr>
            <w:tcW w:w="1136"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158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0,180985109</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18,09851088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100</w:t>
            </w:r>
          </w:p>
        </w:tc>
      </w:tr>
      <w:tr w:rsidR="00050CB2" w:rsidRPr="00165ABE" w:rsidTr="00654079">
        <w:trPr>
          <w:trHeight w:val="315"/>
        </w:trPr>
        <w:tc>
          <w:tcPr>
            <w:tcW w:w="3716"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165ABE">
              <w:rPr>
                <w:rFonts w:ascii="Times New Roman" w:eastAsia="Times New Roman" w:hAnsi="Times New Roman" w:cs="Times New Roman"/>
                <w:b/>
                <w:bCs/>
                <w:color w:val="000000" w:themeColor="text1"/>
                <w:sz w:val="16"/>
                <w:szCs w:val="16"/>
              </w:rPr>
              <w:t>Total</w:t>
            </w:r>
          </w:p>
        </w:tc>
        <w:tc>
          <w:tcPr>
            <w:tcW w:w="1136"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165ABE">
              <w:rPr>
                <w:rFonts w:ascii="Times New Roman" w:eastAsia="Times New Roman" w:hAnsi="Times New Roman" w:cs="Times New Roman"/>
                <w:b/>
                <w:bCs/>
                <w:color w:val="000000" w:themeColor="text1"/>
                <w:sz w:val="16"/>
                <w:szCs w:val="16"/>
              </w:rPr>
              <w:t>873</w:t>
            </w:r>
          </w:p>
        </w:tc>
        <w:tc>
          <w:tcPr>
            <w:tcW w:w="131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w:t>
            </w:r>
          </w:p>
        </w:tc>
        <w:tc>
          <w:tcPr>
            <w:tcW w:w="131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w:t>
            </w:r>
          </w:p>
        </w:tc>
        <w:tc>
          <w:tcPr>
            <w:tcW w:w="131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w:t>
            </w:r>
          </w:p>
        </w:tc>
      </w:tr>
    </w:tbl>
    <w:p w:rsidR="00050CB2" w:rsidRPr="00DE1850" w:rsidRDefault="00DE1850" w:rsidP="00050CB2">
      <w:pPr>
        <w:spacing w:after="0" w:line="240" w:lineRule="auto"/>
        <w:ind w:firstLine="567"/>
        <w:jc w:val="both"/>
        <w:rPr>
          <w:rFonts w:ascii="Times New Roman" w:hAnsi="Times New Roman" w:cs="Times New Roman"/>
          <w:color w:val="000000" w:themeColor="text1"/>
          <w:sz w:val="18"/>
          <w:szCs w:val="18"/>
        </w:rPr>
      </w:pPr>
      <w:r w:rsidRPr="00DE1850">
        <w:rPr>
          <w:rFonts w:ascii="Times New Roman" w:hAnsi="Times New Roman" w:cs="Times New Roman"/>
          <w:color w:val="000000" w:themeColor="text1"/>
          <w:sz w:val="18"/>
          <w:szCs w:val="18"/>
        </w:rPr>
        <w:t>Fonte: Saída do software</w:t>
      </w:r>
    </w:p>
    <w:p w:rsidR="00050CB2" w:rsidRPr="00BE18F7" w:rsidRDefault="00050CB2" w:rsidP="00050CB2">
      <w:pPr>
        <w:spacing w:after="0" w:line="240" w:lineRule="auto"/>
        <w:ind w:firstLine="567"/>
        <w:jc w:val="both"/>
        <w:rPr>
          <w:rFonts w:ascii="Times New Roman" w:hAnsi="Times New Roman" w:cs="Times New Roman"/>
          <w:color w:val="000000" w:themeColor="text1"/>
          <w:sz w:val="24"/>
          <w:szCs w:val="24"/>
        </w:rPr>
      </w:pPr>
    </w:p>
    <w:p w:rsidR="00050CB2" w:rsidRPr="00165ABE" w:rsidRDefault="00050CB2" w:rsidP="00050CB2">
      <w:pPr>
        <w:pStyle w:val="Legenda"/>
        <w:keepNext/>
        <w:rPr>
          <w:rFonts w:ascii="Times New Roman" w:hAnsi="Times New Roman" w:cs="Times New Roman"/>
          <w:color w:val="000000" w:themeColor="text1"/>
          <w:sz w:val="16"/>
          <w:szCs w:val="16"/>
        </w:rPr>
      </w:pPr>
      <w:r w:rsidRPr="00165ABE">
        <w:rPr>
          <w:rFonts w:ascii="Times New Roman" w:hAnsi="Times New Roman" w:cs="Times New Roman"/>
          <w:color w:val="000000" w:themeColor="text1"/>
          <w:sz w:val="16"/>
          <w:szCs w:val="16"/>
        </w:rPr>
        <w:t xml:space="preserve">Tabela </w:t>
      </w:r>
      <w:r w:rsidRPr="00165ABE">
        <w:rPr>
          <w:rFonts w:ascii="Times New Roman" w:hAnsi="Times New Roman" w:cs="Times New Roman"/>
          <w:color w:val="000000" w:themeColor="text1"/>
          <w:sz w:val="16"/>
          <w:szCs w:val="16"/>
        </w:rPr>
        <w:fldChar w:fldCharType="begin"/>
      </w:r>
      <w:r w:rsidRPr="00165ABE">
        <w:rPr>
          <w:rFonts w:ascii="Times New Roman" w:hAnsi="Times New Roman" w:cs="Times New Roman"/>
          <w:color w:val="000000" w:themeColor="text1"/>
          <w:sz w:val="16"/>
          <w:szCs w:val="16"/>
        </w:rPr>
        <w:instrText xml:space="preserve"> SEQ Tabela \* ARABIC </w:instrText>
      </w:r>
      <w:r w:rsidRPr="00165ABE">
        <w:rPr>
          <w:rFonts w:ascii="Times New Roman" w:hAnsi="Times New Roman" w:cs="Times New Roman"/>
          <w:color w:val="000000" w:themeColor="text1"/>
          <w:sz w:val="16"/>
          <w:szCs w:val="16"/>
        </w:rPr>
        <w:fldChar w:fldCharType="separate"/>
      </w:r>
      <w:r w:rsidRPr="00165ABE">
        <w:rPr>
          <w:rFonts w:ascii="Times New Roman" w:hAnsi="Times New Roman" w:cs="Times New Roman"/>
          <w:noProof/>
          <w:color w:val="000000" w:themeColor="text1"/>
          <w:sz w:val="16"/>
          <w:szCs w:val="16"/>
        </w:rPr>
        <w:t>2</w:t>
      </w:r>
      <w:r w:rsidRPr="00165ABE">
        <w:rPr>
          <w:rFonts w:ascii="Times New Roman" w:hAnsi="Times New Roman" w:cs="Times New Roman"/>
          <w:noProof/>
          <w:color w:val="000000" w:themeColor="text1"/>
          <w:sz w:val="16"/>
          <w:szCs w:val="16"/>
        </w:rPr>
        <w:fldChar w:fldCharType="end"/>
      </w:r>
      <w:r w:rsidRPr="00165ABE">
        <w:rPr>
          <w:rFonts w:ascii="Times New Roman" w:hAnsi="Times New Roman" w:cs="Times New Roman"/>
          <w:color w:val="000000" w:themeColor="text1"/>
          <w:sz w:val="16"/>
          <w:szCs w:val="16"/>
        </w:rPr>
        <w:t>: Caracterização da População - Faixa Etária</w:t>
      </w:r>
    </w:p>
    <w:tbl>
      <w:tblPr>
        <w:tblW w:w="8782" w:type="dxa"/>
        <w:tblInd w:w="70" w:type="dxa"/>
        <w:tblCellMar>
          <w:left w:w="70" w:type="dxa"/>
          <w:right w:w="70" w:type="dxa"/>
        </w:tblCellMar>
        <w:tblLook w:val="04A0" w:firstRow="1" w:lastRow="0" w:firstColumn="1" w:lastColumn="0" w:noHBand="0" w:noVBand="1"/>
      </w:tblPr>
      <w:tblGrid>
        <w:gridCol w:w="3716"/>
        <w:gridCol w:w="1136"/>
        <w:gridCol w:w="1310"/>
        <w:gridCol w:w="1310"/>
        <w:gridCol w:w="1310"/>
      </w:tblGrid>
      <w:tr w:rsidR="00050CB2" w:rsidRPr="00165ABE" w:rsidTr="00654079">
        <w:trPr>
          <w:trHeight w:val="300"/>
        </w:trPr>
        <w:tc>
          <w:tcPr>
            <w:tcW w:w="3716"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Faixa Etária</w:t>
            </w:r>
          </w:p>
        </w:tc>
        <w:tc>
          <w:tcPr>
            <w:tcW w:w="1136"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Frequências</w:t>
            </w:r>
          </w:p>
        </w:tc>
        <w:tc>
          <w:tcPr>
            <w:tcW w:w="131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 Rel.</w:t>
            </w:r>
          </w:p>
        </w:tc>
        <w:tc>
          <w:tcPr>
            <w:tcW w:w="131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 Perc.</w:t>
            </w:r>
          </w:p>
        </w:tc>
        <w:tc>
          <w:tcPr>
            <w:tcW w:w="131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 Acum.</w:t>
            </w:r>
          </w:p>
        </w:tc>
      </w:tr>
      <w:tr w:rsidR="00050CB2" w:rsidRPr="00165ABE" w:rsidTr="00654079">
        <w:trPr>
          <w:trHeight w:val="300"/>
        </w:trPr>
        <w:tc>
          <w:tcPr>
            <w:tcW w:w="3716"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xml:space="preserve">18 </w:t>
            </w:r>
            <w:r w:rsidR="00EF26A3">
              <w:rPr>
                <w:rFonts w:ascii="Times New Roman" w:eastAsia="Times New Roman" w:hAnsi="Times New Roman" w:cs="Times New Roman"/>
                <w:color w:val="000000" w:themeColor="text1"/>
                <w:sz w:val="16"/>
                <w:szCs w:val="16"/>
              </w:rPr>
              <w:t>–</w:t>
            </w:r>
            <w:r w:rsidRPr="00165ABE">
              <w:rPr>
                <w:rFonts w:ascii="Times New Roman" w:eastAsia="Times New Roman" w:hAnsi="Times New Roman" w:cs="Times New Roman"/>
                <w:color w:val="000000" w:themeColor="text1"/>
                <w:sz w:val="16"/>
                <w:szCs w:val="16"/>
              </w:rPr>
              <w:t xml:space="preserve"> 29</w:t>
            </w:r>
          </w:p>
        </w:tc>
        <w:tc>
          <w:tcPr>
            <w:tcW w:w="1136"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15</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0,017182131</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1,718213058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1,718213058</w:t>
            </w:r>
          </w:p>
        </w:tc>
      </w:tr>
      <w:tr w:rsidR="00050CB2" w:rsidRPr="00165ABE" w:rsidTr="00654079">
        <w:trPr>
          <w:trHeight w:val="300"/>
        </w:trPr>
        <w:tc>
          <w:tcPr>
            <w:tcW w:w="3716"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xml:space="preserve">30 </w:t>
            </w:r>
            <w:r w:rsidR="00EF26A3">
              <w:rPr>
                <w:rFonts w:ascii="Times New Roman" w:eastAsia="Times New Roman" w:hAnsi="Times New Roman" w:cs="Times New Roman"/>
                <w:color w:val="000000" w:themeColor="text1"/>
                <w:sz w:val="16"/>
                <w:szCs w:val="16"/>
              </w:rPr>
              <w:t>–</w:t>
            </w:r>
            <w:r w:rsidRPr="00165ABE">
              <w:rPr>
                <w:rFonts w:ascii="Times New Roman" w:eastAsia="Times New Roman" w:hAnsi="Times New Roman" w:cs="Times New Roman"/>
                <w:color w:val="000000" w:themeColor="text1"/>
                <w:sz w:val="16"/>
                <w:szCs w:val="16"/>
              </w:rPr>
              <w:t xml:space="preserve"> 41</w:t>
            </w:r>
          </w:p>
        </w:tc>
        <w:tc>
          <w:tcPr>
            <w:tcW w:w="1136"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197</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0,225658648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22,56586483</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24,28407789</w:t>
            </w:r>
          </w:p>
        </w:tc>
      </w:tr>
      <w:tr w:rsidR="00050CB2" w:rsidRPr="00165ABE" w:rsidTr="00654079">
        <w:trPr>
          <w:trHeight w:val="300"/>
        </w:trPr>
        <w:tc>
          <w:tcPr>
            <w:tcW w:w="3716"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xml:space="preserve">42 </w:t>
            </w:r>
            <w:r w:rsidR="00EF26A3">
              <w:rPr>
                <w:rFonts w:ascii="Times New Roman" w:eastAsia="Times New Roman" w:hAnsi="Times New Roman" w:cs="Times New Roman"/>
                <w:color w:val="000000" w:themeColor="text1"/>
                <w:sz w:val="16"/>
                <w:szCs w:val="16"/>
              </w:rPr>
              <w:t>–</w:t>
            </w:r>
            <w:r w:rsidRPr="00165ABE">
              <w:rPr>
                <w:rFonts w:ascii="Times New Roman" w:eastAsia="Times New Roman" w:hAnsi="Times New Roman" w:cs="Times New Roman"/>
                <w:color w:val="000000" w:themeColor="text1"/>
                <w:sz w:val="16"/>
                <w:szCs w:val="16"/>
              </w:rPr>
              <w:t xml:space="preserve"> 53</w:t>
            </w:r>
          </w:p>
        </w:tc>
        <w:tc>
          <w:tcPr>
            <w:tcW w:w="1136"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413</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0,473081329</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47,30813288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71,59221077</w:t>
            </w:r>
          </w:p>
        </w:tc>
      </w:tr>
      <w:tr w:rsidR="00050CB2" w:rsidRPr="00165ABE" w:rsidTr="00654079">
        <w:trPr>
          <w:trHeight w:val="300"/>
        </w:trPr>
        <w:tc>
          <w:tcPr>
            <w:tcW w:w="3716"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xml:space="preserve">54 </w:t>
            </w:r>
            <w:r w:rsidR="00EF26A3">
              <w:rPr>
                <w:rFonts w:ascii="Times New Roman" w:eastAsia="Times New Roman" w:hAnsi="Times New Roman" w:cs="Times New Roman"/>
                <w:color w:val="000000" w:themeColor="text1"/>
                <w:sz w:val="16"/>
                <w:szCs w:val="16"/>
              </w:rPr>
              <w:t>–</w:t>
            </w:r>
            <w:r w:rsidRPr="00165ABE">
              <w:rPr>
                <w:rFonts w:ascii="Times New Roman" w:eastAsia="Times New Roman" w:hAnsi="Times New Roman" w:cs="Times New Roman"/>
                <w:color w:val="000000" w:themeColor="text1"/>
                <w:sz w:val="16"/>
                <w:szCs w:val="16"/>
              </w:rPr>
              <w:t xml:space="preserve"> 65</w:t>
            </w:r>
          </w:p>
        </w:tc>
        <w:tc>
          <w:tcPr>
            <w:tcW w:w="1136"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202</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0,231386025</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23,13860252</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94,73081329</w:t>
            </w:r>
          </w:p>
        </w:tc>
      </w:tr>
      <w:tr w:rsidR="00050CB2" w:rsidRPr="00165ABE" w:rsidTr="00654079">
        <w:trPr>
          <w:trHeight w:val="300"/>
        </w:trPr>
        <w:tc>
          <w:tcPr>
            <w:tcW w:w="3716"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xml:space="preserve">Acima de 65 </w:t>
            </w:r>
          </w:p>
        </w:tc>
        <w:tc>
          <w:tcPr>
            <w:tcW w:w="1136"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0,011454754</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1,145475372</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95,87628866</w:t>
            </w:r>
          </w:p>
        </w:tc>
      </w:tr>
      <w:tr w:rsidR="00050CB2" w:rsidRPr="00165ABE" w:rsidTr="00654079">
        <w:trPr>
          <w:trHeight w:val="300"/>
        </w:trPr>
        <w:tc>
          <w:tcPr>
            <w:tcW w:w="3716"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Não informado</w:t>
            </w:r>
          </w:p>
        </w:tc>
        <w:tc>
          <w:tcPr>
            <w:tcW w:w="1136"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36</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0,041237113</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4,12371134</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100</w:t>
            </w:r>
          </w:p>
        </w:tc>
      </w:tr>
      <w:tr w:rsidR="00050CB2" w:rsidRPr="00165ABE" w:rsidTr="00654079">
        <w:trPr>
          <w:trHeight w:val="315"/>
        </w:trPr>
        <w:tc>
          <w:tcPr>
            <w:tcW w:w="3716"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165ABE">
              <w:rPr>
                <w:rFonts w:ascii="Times New Roman" w:eastAsia="Times New Roman" w:hAnsi="Times New Roman" w:cs="Times New Roman"/>
                <w:b/>
                <w:bCs/>
                <w:color w:val="000000" w:themeColor="text1"/>
                <w:sz w:val="16"/>
                <w:szCs w:val="16"/>
              </w:rPr>
              <w:t>Total</w:t>
            </w:r>
          </w:p>
        </w:tc>
        <w:tc>
          <w:tcPr>
            <w:tcW w:w="1136"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165ABE">
              <w:rPr>
                <w:rFonts w:ascii="Times New Roman" w:eastAsia="Times New Roman" w:hAnsi="Times New Roman" w:cs="Times New Roman"/>
                <w:b/>
                <w:bCs/>
                <w:color w:val="000000" w:themeColor="text1"/>
                <w:sz w:val="16"/>
                <w:szCs w:val="16"/>
              </w:rPr>
              <w:t>873</w:t>
            </w:r>
          </w:p>
        </w:tc>
        <w:tc>
          <w:tcPr>
            <w:tcW w:w="131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w:t>
            </w:r>
          </w:p>
        </w:tc>
        <w:tc>
          <w:tcPr>
            <w:tcW w:w="131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w:t>
            </w:r>
          </w:p>
        </w:tc>
        <w:tc>
          <w:tcPr>
            <w:tcW w:w="131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 </w:t>
            </w:r>
          </w:p>
        </w:tc>
      </w:tr>
    </w:tbl>
    <w:p w:rsidR="00DE1850" w:rsidRPr="00DE1850" w:rsidRDefault="00DE1850" w:rsidP="00DE1850">
      <w:pPr>
        <w:spacing w:after="0" w:line="240" w:lineRule="auto"/>
        <w:ind w:firstLine="567"/>
        <w:jc w:val="both"/>
        <w:rPr>
          <w:rFonts w:ascii="Times New Roman" w:hAnsi="Times New Roman" w:cs="Times New Roman"/>
          <w:color w:val="000000" w:themeColor="text1"/>
          <w:sz w:val="18"/>
          <w:szCs w:val="18"/>
        </w:rPr>
      </w:pPr>
      <w:r w:rsidRPr="00DE1850">
        <w:rPr>
          <w:rFonts w:ascii="Times New Roman" w:hAnsi="Times New Roman" w:cs="Times New Roman"/>
          <w:color w:val="000000" w:themeColor="text1"/>
          <w:sz w:val="18"/>
          <w:szCs w:val="18"/>
        </w:rPr>
        <w:t>Fonte: Saída do software</w:t>
      </w:r>
    </w:p>
    <w:p w:rsidR="00050CB2" w:rsidRPr="00165ABE" w:rsidRDefault="00050CB2" w:rsidP="00050CB2">
      <w:pPr>
        <w:spacing w:after="0" w:line="240" w:lineRule="auto"/>
        <w:rPr>
          <w:rFonts w:ascii="Times New Roman" w:hAnsi="Times New Roman" w:cs="Times New Roman"/>
          <w:b/>
          <w:color w:val="000000" w:themeColor="text1"/>
          <w:sz w:val="16"/>
          <w:szCs w:val="16"/>
        </w:rPr>
      </w:pPr>
    </w:p>
    <w:p w:rsidR="00050CB2" w:rsidRPr="00165ABE" w:rsidRDefault="00050CB2" w:rsidP="00050CB2">
      <w:pPr>
        <w:spacing w:after="0" w:line="240" w:lineRule="auto"/>
        <w:ind w:firstLine="567"/>
        <w:jc w:val="both"/>
        <w:rPr>
          <w:rFonts w:ascii="Times New Roman" w:hAnsi="Times New Roman" w:cs="Times New Roman"/>
          <w:color w:val="000000" w:themeColor="text1"/>
          <w:sz w:val="16"/>
          <w:szCs w:val="16"/>
        </w:rPr>
      </w:pPr>
    </w:p>
    <w:p w:rsidR="00050CB2" w:rsidRPr="00BE18F7" w:rsidRDefault="00050CB2" w:rsidP="00050CB2">
      <w:pPr>
        <w:spacing w:after="0" w:line="240" w:lineRule="auto"/>
        <w:rPr>
          <w:rFonts w:ascii="Times New Roman" w:hAnsi="Times New Roman" w:cs="Times New Roman"/>
          <w:color w:val="000000" w:themeColor="text1"/>
          <w:sz w:val="24"/>
          <w:szCs w:val="24"/>
        </w:rPr>
      </w:pP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Considerando o objetivo de demonstrar de forma simplificada a importância e utilidade dos dados relacionados a afastamentos para uma visão mais ampliada em relação à promoção da saúde nos órgãos públicos, esta seção apresenta os principais resultados da análise dos dados e discussões em torno da interpretação desses dados sob o prisma do marketing de relacionamento. </w:t>
      </w:r>
    </w:p>
    <w:p w:rsidR="00050CB2"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A UFMG é um Órgão Público Federal de Ensino Superior sendo, portanto, uma instituição de serviço – considerando o conceito de Lovelock; Wirtz e Hemzo (2011). Assim, possui em seus Recursos Humanos sua representatividade. Quando observado, no entanto, o número de dias de afastamento no período pesquisado que totalizou 7813 dias de afastamento, percebe-se a relevância desse indicador como ponto crítico das consequências do mal-estar, conforme colocado por Ferreira (2013) - esse número de dias corresponde a aproximadamente 22 anos de trabalho de um servidor. A Tabela </w:t>
      </w:r>
      <w:r w:rsidR="00EF26A3">
        <w:rPr>
          <w:rFonts w:ascii="Times New Roman" w:hAnsi="Times New Roman" w:cs="Times New Roman"/>
          <w:color w:val="000000" w:themeColor="text1"/>
          <w:sz w:val="24"/>
          <w:szCs w:val="24"/>
        </w:rPr>
        <w:t>3</w:t>
      </w:r>
      <w:r w:rsidRPr="00BE18F7">
        <w:rPr>
          <w:rFonts w:ascii="Times New Roman" w:hAnsi="Times New Roman" w:cs="Times New Roman"/>
          <w:color w:val="000000" w:themeColor="text1"/>
          <w:sz w:val="24"/>
          <w:szCs w:val="24"/>
        </w:rPr>
        <w:t xml:space="preserve"> apresenta o número de dias de afastamento classificados em faixas de dias. A classificação buscou associar aos períodos considerados pela perícia como curto prazo (até 5 dias corridos e 14 dias não consecutivos) e em sequência período inferior a 1 mês, a 2 meses, a 3 meses, a 4 meses e superior a 4 meses. Prevaleceram as licenças de curto prazo de até 5 dias. </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p>
    <w:p w:rsidR="00050CB2" w:rsidRPr="00165ABE" w:rsidRDefault="00050CB2" w:rsidP="00050CB2">
      <w:pPr>
        <w:pStyle w:val="Legenda"/>
        <w:keepNext/>
        <w:rPr>
          <w:rFonts w:ascii="Times New Roman" w:hAnsi="Times New Roman" w:cs="Times New Roman"/>
          <w:color w:val="000000" w:themeColor="text1"/>
          <w:sz w:val="16"/>
          <w:szCs w:val="16"/>
        </w:rPr>
      </w:pPr>
      <w:r w:rsidRPr="00165ABE">
        <w:rPr>
          <w:rFonts w:ascii="Times New Roman" w:hAnsi="Times New Roman" w:cs="Times New Roman"/>
          <w:color w:val="000000" w:themeColor="text1"/>
          <w:sz w:val="16"/>
          <w:szCs w:val="16"/>
        </w:rPr>
        <w:t xml:space="preserve">Tabela </w:t>
      </w:r>
      <w:r w:rsidR="00EF26A3">
        <w:rPr>
          <w:rFonts w:ascii="Times New Roman" w:hAnsi="Times New Roman" w:cs="Times New Roman"/>
          <w:color w:val="000000" w:themeColor="text1"/>
          <w:sz w:val="16"/>
          <w:szCs w:val="16"/>
        </w:rPr>
        <w:t>3</w:t>
      </w:r>
      <w:r w:rsidRPr="00165ABE">
        <w:rPr>
          <w:rFonts w:ascii="Times New Roman" w:hAnsi="Times New Roman" w:cs="Times New Roman"/>
          <w:color w:val="000000" w:themeColor="text1"/>
          <w:sz w:val="16"/>
          <w:szCs w:val="16"/>
        </w:rPr>
        <w:t>: Dias de afastamento</w:t>
      </w:r>
    </w:p>
    <w:tbl>
      <w:tblPr>
        <w:tblW w:w="8806" w:type="dxa"/>
        <w:tblInd w:w="53" w:type="dxa"/>
        <w:tblCellMar>
          <w:left w:w="70" w:type="dxa"/>
          <w:right w:w="70" w:type="dxa"/>
        </w:tblCellMar>
        <w:tblLook w:val="04A0" w:firstRow="1" w:lastRow="0" w:firstColumn="1" w:lastColumn="0" w:noHBand="0" w:noVBand="1"/>
      </w:tblPr>
      <w:tblGrid>
        <w:gridCol w:w="3845"/>
        <w:gridCol w:w="1275"/>
        <w:gridCol w:w="1985"/>
        <w:gridCol w:w="1701"/>
      </w:tblGrid>
      <w:tr w:rsidR="00050CB2" w:rsidRPr="00165ABE" w:rsidTr="00654079">
        <w:trPr>
          <w:trHeight w:val="510"/>
        </w:trPr>
        <w:tc>
          <w:tcPr>
            <w:tcW w:w="3845" w:type="dxa"/>
            <w:tcBorders>
              <w:top w:val="single" w:sz="8" w:space="0" w:color="auto"/>
              <w:left w:val="nil"/>
              <w:bottom w:val="single" w:sz="4" w:space="0" w:color="auto"/>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Dias de afastamento</w:t>
            </w:r>
          </w:p>
        </w:tc>
        <w:tc>
          <w:tcPr>
            <w:tcW w:w="1275" w:type="dxa"/>
            <w:tcBorders>
              <w:top w:val="single" w:sz="8" w:space="0" w:color="auto"/>
              <w:left w:val="nil"/>
              <w:bottom w:val="single" w:sz="4" w:space="0" w:color="auto"/>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Média</w:t>
            </w:r>
          </w:p>
        </w:tc>
        <w:tc>
          <w:tcPr>
            <w:tcW w:w="1985" w:type="dxa"/>
            <w:tcBorders>
              <w:top w:val="single" w:sz="8" w:space="0" w:color="auto"/>
              <w:left w:val="nil"/>
              <w:bottom w:val="single" w:sz="4" w:space="0" w:color="auto"/>
              <w:right w:val="nil"/>
            </w:tcBorders>
            <w:shd w:val="clear" w:color="auto" w:fill="auto"/>
            <w:vAlign w:val="center"/>
            <w:hideMark/>
          </w:tcPr>
          <w:p w:rsidR="00050CB2" w:rsidRPr="00165ABE"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Desvio Padrão da Média</w:t>
            </w:r>
          </w:p>
        </w:tc>
        <w:tc>
          <w:tcPr>
            <w:tcW w:w="1701" w:type="dxa"/>
            <w:tcBorders>
              <w:top w:val="single" w:sz="8" w:space="0" w:color="auto"/>
              <w:left w:val="nil"/>
              <w:bottom w:val="single" w:sz="4" w:space="0" w:color="auto"/>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Freqüência</w:t>
            </w:r>
          </w:p>
        </w:tc>
      </w:tr>
      <w:tr w:rsidR="00050CB2" w:rsidRPr="00165ABE" w:rsidTr="00654079">
        <w:trPr>
          <w:trHeight w:val="300"/>
        </w:trPr>
        <w:tc>
          <w:tcPr>
            <w:tcW w:w="3845"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De 1 a 5</w:t>
            </w:r>
          </w:p>
        </w:tc>
        <w:tc>
          <w:tcPr>
            <w:tcW w:w="1275"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1,9</w:t>
            </w:r>
          </w:p>
        </w:tc>
        <w:tc>
          <w:tcPr>
            <w:tcW w:w="1985"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w:t>
            </w:r>
          </w:p>
        </w:tc>
        <w:tc>
          <w:tcPr>
            <w:tcW w:w="1701"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620,0</w:t>
            </w:r>
          </w:p>
        </w:tc>
      </w:tr>
      <w:tr w:rsidR="00050CB2" w:rsidRPr="00165ABE" w:rsidTr="00654079">
        <w:trPr>
          <w:trHeight w:val="300"/>
        </w:trPr>
        <w:tc>
          <w:tcPr>
            <w:tcW w:w="3845"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De 6 a 14</w:t>
            </w:r>
          </w:p>
        </w:tc>
        <w:tc>
          <w:tcPr>
            <w:tcW w:w="1275"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9,1</w:t>
            </w:r>
          </w:p>
        </w:tc>
        <w:tc>
          <w:tcPr>
            <w:tcW w:w="1985"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0,2</w:t>
            </w:r>
          </w:p>
        </w:tc>
        <w:tc>
          <w:tcPr>
            <w:tcW w:w="1701"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91,0</w:t>
            </w:r>
          </w:p>
        </w:tc>
      </w:tr>
      <w:tr w:rsidR="00050CB2" w:rsidRPr="00165ABE" w:rsidTr="00654079">
        <w:trPr>
          <w:trHeight w:val="300"/>
        </w:trPr>
        <w:tc>
          <w:tcPr>
            <w:tcW w:w="3845"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De 15 a 29</w:t>
            </w:r>
          </w:p>
        </w:tc>
        <w:tc>
          <w:tcPr>
            <w:tcW w:w="1275"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18,2</w:t>
            </w:r>
          </w:p>
        </w:tc>
        <w:tc>
          <w:tcPr>
            <w:tcW w:w="1985"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0,4</w:t>
            </w:r>
          </w:p>
        </w:tc>
        <w:tc>
          <w:tcPr>
            <w:tcW w:w="1701"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70,0</w:t>
            </w:r>
          </w:p>
        </w:tc>
      </w:tr>
      <w:tr w:rsidR="00050CB2" w:rsidRPr="00165ABE" w:rsidTr="00654079">
        <w:trPr>
          <w:trHeight w:val="300"/>
        </w:trPr>
        <w:tc>
          <w:tcPr>
            <w:tcW w:w="3845"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De 30 a 59</w:t>
            </w:r>
          </w:p>
        </w:tc>
        <w:tc>
          <w:tcPr>
            <w:tcW w:w="1275"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37,2</w:t>
            </w:r>
          </w:p>
        </w:tc>
        <w:tc>
          <w:tcPr>
            <w:tcW w:w="1985"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w:t>
            </w:r>
          </w:p>
        </w:tc>
        <w:tc>
          <w:tcPr>
            <w:tcW w:w="1701"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62,0</w:t>
            </w:r>
          </w:p>
        </w:tc>
      </w:tr>
      <w:tr w:rsidR="00050CB2" w:rsidRPr="00165ABE" w:rsidTr="00654079">
        <w:trPr>
          <w:trHeight w:val="300"/>
        </w:trPr>
        <w:tc>
          <w:tcPr>
            <w:tcW w:w="3845"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De 60 a 89</w:t>
            </w:r>
          </w:p>
        </w:tc>
        <w:tc>
          <w:tcPr>
            <w:tcW w:w="1275"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61,5</w:t>
            </w:r>
          </w:p>
        </w:tc>
        <w:tc>
          <w:tcPr>
            <w:tcW w:w="1985"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w:t>
            </w:r>
          </w:p>
        </w:tc>
        <w:tc>
          <w:tcPr>
            <w:tcW w:w="1701"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25,0</w:t>
            </w:r>
          </w:p>
        </w:tc>
      </w:tr>
      <w:tr w:rsidR="00050CB2" w:rsidRPr="00165ABE" w:rsidTr="00654079">
        <w:trPr>
          <w:trHeight w:val="300"/>
        </w:trPr>
        <w:tc>
          <w:tcPr>
            <w:tcW w:w="3845"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De 90 a 119</w:t>
            </w:r>
          </w:p>
        </w:tc>
        <w:tc>
          <w:tcPr>
            <w:tcW w:w="1275"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92,0</w:t>
            </w:r>
          </w:p>
        </w:tc>
        <w:tc>
          <w:tcPr>
            <w:tcW w:w="1985"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p>
        </w:tc>
        <w:tc>
          <w:tcPr>
            <w:tcW w:w="1701" w:type="dxa"/>
            <w:tcBorders>
              <w:top w:val="nil"/>
              <w:left w:val="nil"/>
              <w:bottom w:val="nil"/>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w:t>
            </w:r>
          </w:p>
        </w:tc>
      </w:tr>
      <w:tr w:rsidR="00050CB2" w:rsidRPr="00165ABE" w:rsidTr="00654079">
        <w:trPr>
          <w:trHeight w:val="315"/>
        </w:trPr>
        <w:tc>
          <w:tcPr>
            <w:tcW w:w="3845" w:type="dxa"/>
            <w:tcBorders>
              <w:top w:val="nil"/>
              <w:left w:val="nil"/>
              <w:bottom w:val="single" w:sz="8" w:space="0" w:color="auto"/>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 partir de 120</w:t>
            </w:r>
          </w:p>
        </w:tc>
        <w:tc>
          <w:tcPr>
            <w:tcW w:w="1275" w:type="dxa"/>
            <w:tcBorders>
              <w:top w:val="nil"/>
              <w:left w:val="nil"/>
              <w:bottom w:val="single" w:sz="8" w:space="0" w:color="auto"/>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142,5</w:t>
            </w:r>
          </w:p>
        </w:tc>
        <w:tc>
          <w:tcPr>
            <w:tcW w:w="1985" w:type="dxa"/>
            <w:tcBorders>
              <w:top w:val="nil"/>
              <w:left w:val="nil"/>
              <w:bottom w:val="single" w:sz="8" w:space="0" w:color="auto"/>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22,5</w:t>
            </w:r>
          </w:p>
        </w:tc>
        <w:tc>
          <w:tcPr>
            <w:tcW w:w="1701" w:type="dxa"/>
            <w:tcBorders>
              <w:top w:val="nil"/>
              <w:left w:val="nil"/>
              <w:bottom w:val="single" w:sz="8" w:space="0" w:color="auto"/>
              <w:right w:val="nil"/>
            </w:tcBorders>
            <w:shd w:val="clear" w:color="auto" w:fill="auto"/>
            <w:noWrap/>
            <w:vAlign w:val="center"/>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4,0</w:t>
            </w:r>
          </w:p>
        </w:tc>
      </w:tr>
      <w:tr w:rsidR="00050CB2" w:rsidRPr="00165ABE" w:rsidTr="00654079">
        <w:trPr>
          <w:trHeight w:val="300"/>
        </w:trPr>
        <w:tc>
          <w:tcPr>
            <w:tcW w:w="3845" w:type="dxa"/>
            <w:tcBorders>
              <w:top w:val="nil"/>
              <w:left w:val="nil"/>
              <w:bottom w:val="nil"/>
              <w:right w:val="nil"/>
            </w:tcBorders>
            <w:shd w:val="clear" w:color="auto" w:fill="auto"/>
            <w:noWrap/>
            <w:vAlign w:val="bottom"/>
            <w:hideMark/>
          </w:tcPr>
          <w:p w:rsidR="00DE1850" w:rsidRPr="00DE1850" w:rsidRDefault="00DE1850" w:rsidP="00DE1850">
            <w:pPr>
              <w:spacing w:after="0" w:line="240" w:lineRule="auto"/>
              <w:ind w:firstLine="567"/>
              <w:jc w:val="both"/>
              <w:rPr>
                <w:rFonts w:ascii="Times New Roman" w:hAnsi="Times New Roman" w:cs="Times New Roman"/>
                <w:color w:val="000000" w:themeColor="text1"/>
                <w:sz w:val="18"/>
                <w:szCs w:val="18"/>
              </w:rPr>
            </w:pPr>
            <w:r w:rsidRPr="00DE1850">
              <w:rPr>
                <w:rFonts w:ascii="Times New Roman" w:hAnsi="Times New Roman" w:cs="Times New Roman"/>
                <w:color w:val="000000" w:themeColor="text1"/>
                <w:sz w:val="18"/>
                <w:szCs w:val="18"/>
              </w:rPr>
              <w:t>Fonte: Saída do software</w:t>
            </w:r>
          </w:p>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p>
        </w:tc>
        <w:tc>
          <w:tcPr>
            <w:tcW w:w="1275"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p>
        </w:tc>
        <w:tc>
          <w:tcPr>
            <w:tcW w:w="1985"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p>
        </w:tc>
        <w:tc>
          <w:tcPr>
            <w:tcW w:w="1701"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p>
        </w:tc>
      </w:tr>
    </w:tbl>
    <w:p w:rsidR="00050CB2" w:rsidRPr="00BE18F7" w:rsidRDefault="00050CB2" w:rsidP="00050CB2">
      <w:pPr>
        <w:spacing w:after="0" w:line="240" w:lineRule="auto"/>
        <w:rPr>
          <w:rFonts w:ascii="Times New Roman" w:hAnsi="Times New Roman" w:cs="Times New Roman"/>
          <w:b/>
          <w:color w:val="000000" w:themeColor="text1"/>
          <w:sz w:val="24"/>
          <w:szCs w:val="24"/>
        </w:rPr>
      </w:pPr>
    </w:p>
    <w:p w:rsidR="00050CB2" w:rsidRPr="00BE18F7" w:rsidRDefault="00050CB2" w:rsidP="00050CB2">
      <w:pPr>
        <w:spacing w:after="0" w:line="240" w:lineRule="auto"/>
        <w:ind w:firstLine="567"/>
        <w:jc w:val="both"/>
        <w:rPr>
          <w:rFonts w:ascii="Times New Roman" w:hAnsi="Times New Roman" w:cs="Times New Roman"/>
          <w:color w:val="000000" w:themeColor="text1"/>
          <w:sz w:val="24"/>
          <w:szCs w:val="24"/>
        </w:rPr>
      </w:pP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Considerando a Classificação Internacional de Doenças (CID), a prevalência de causas de afastamento foi por: fatores que influenciam o estado de saúde e o contato com os serviços de saúde (o que é significativo, considerando que o público principal atua nos serviços de saúde), doenças do aparelho respiratório, do sistema osteomuscular e transtornos mentais e comportamentais – resultado semelhante ao encontrado na pesquisa realizada por Ferreira (2013). Mais de 50% dos casos de afastamento ocorreram em função desses quatro fatores (</w:t>
      </w:r>
      <w:r w:rsidR="00EF26A3">
        <w:rPr>
          <w:rFonts w:ascii="Times New Roman" w:hAnsi="Times New Roman" w:cs="Times New Roman"/>
          <w:color w:val="000000" w:themeColor="text1"/>
          <w:sz w:val="24"/>
          <w:szCs w:val="24"/>
        </w:rPr>
        <w:t>Tabela 4</w:t>
      </w:r>
      <w:r w:rsidRPr="00BE18F7">
        <w:rPr>
          <w:rFonts w:ascii="Times New Roman" w:hAnsi="Times New Roman" w:cs="Times New Roman"/>
          <w:color w:val="000000" w:themeColor="text1"/>
          <w:sz w:val="24"/>
          <w:szCs w:val="24"/>
        </w:rPr>
        <w:t>).</w:t>
      </w:r>
    </w:p>
    <w:p w:rsidR="00050CB2" w:rsidRPr="00BE18F7" w:rsidRDefault="00050CB2" w:rsidP="00050CB2">
      <w:pPr>
        <w:spacing w:after="0" w:line="240" w:lineRule="auto"/>
        <w:ind w:firstLine="567"/>
        <w:jc w:val="both"/>
        <w:rPr>
          <w:rFonts w:ascii="Times New Roman" w:hAnsi="Times New Roman" w:cs="Times New Roman"/>
          <w:color w:val="000000" w:themeColor="text1"/>
          <w:sz w:val="24"/>
          <w:szCs w:val="24"/>
        </w:rPr>
      </w:pPr>
    </w:p>
    <w:p w:rsidR="00050CB2" w:rsidRPr="00BE18F7" w:rsidRDefault="00050CB2" w:rsidP="00050CB2">
      <w:pPr>
        <w:pStyle w:val="Legenda"/>
        <w:keepNext/>
        <w:rPr>
          <w:rFonts w:ascii="Times New Roman" w:hAnsi="Times New Roman" w:cs="Times New Roman"/>
          <w:color w:val="000000" w:themeColor="text1"/>
        </w:rPr>
      </w:pPr>
      <w:r w:rsidRPr="00BE18F7">
        <w:rPr>
          <w:rFonts w:ascii="Times New Roman" w:hAnsi="Times New Roman" w:cs="Times New Roman"/>
          <w:color w:val="000000" w:themeColor="text1"/>
        </w:rPr>
        <w:t xml:space="preserve">Tabela </w:t>
      </w:r>
      <w:r w:rsidR="00EF26A3">
        <w:rPr>
          <w:rFonts w:ascii="Times New Roman" w:hAnsi="Times New Roman" w:cs="Times New Roman"/>
          <w:color w:val="000000" w:themeColor="text1"/>
        </w:rPr>
        <w:t>4</w:t>
      </w:r>
      <w:r w:rsidRPr="00BE18F7">
        <w:rPr>
          <w:rFonts w:ascii="Times New Roman" w:hAnsi="Times New Roman" w:cs="Times New Roman"/>
          <w:color w:val="000000" w:themeColor="text1"/>
        </w:rPr>
        <w:t>: Afastamentos por CID</w:t>
      </w:r>
    </w:p>
    <w:tbl>
      <w:tblPr>
        <w:tblW w:w="8954" w:type="dxa"/>
        <w:tblInd w:w="53" w:type="dxa"/>
        <w:tblCellMar>
          <w:left w:w="70" w:type="dxa"/>
          <w:right w:w="70" w:type="dxa"/>
        </w:tblCellMar>
        <w:tblLook w:val="04A0" w:firstRow="1" w:lastRow="0" w:firstColumn="1" w:lastColumn="0" w:noHBand="0" w:noVBand="1"/>
      </w:tblPr>
      <w:tblGrid>
        <w:gridCol w:w="3940"/>
        <w:gridCol w:w="1174"/>
        <w:gridCol w:w="1220"/>
        <w:gridCol w:w="1310"/>
        <w:gridCol w:w="1310"/>
      </w:tblGrid>
      <w:tr w:rsidR="00050CB2" w:rsidRPr="00BE18F7" w:rsidTr="00DE1850">
        <w:trPr>
          <w:trHeight w:val="300"/>
        </w:trPr>
        <w:tc>
          <w:tcPr>
            <w:tcW w:w="3940" w:type="dxa"/>
            <w:tcBorders>
              <w:top w:val="single" w:sz="8" w:space="0" w:color="auto"/>
              <w:left w:val="nil"/>
              <w:bottom w:val="single" w:sz="4" w:space="0" w:color="auto"/>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20"/>
                <w:szCs w:val="20"/>
              </w:rPr>
            </w:pPr>
            <w:r w:rsidRPr="00BE18F7">
              <w:rPr>
                <w:rFonts w:ascii="Times New Roman" w:eastAsia="Times New Roman" w:hAnsi="Times New Roman" w:cs="Times New Roman"/>
                <w:b/>
                <w:bCs/>
                <w:i/>
                <w:iCs/>
                <w:color w:val="000000" w:themeColor="text1"/>
                <w:sz w:val="20"/>
                <w:szCs w:val="20"/>
              </w:rPr>
              <w:t>CID</w:t>
            </w:r>
          </w:p>
        </w:tc>
        <w:tc>
          <w:tcPr>
            <w:tcW w:w="1174" w:type="dxa"/>
            <w:tcBorders>
              <w:top w:val="single" w:sz="8" w:space="0" w:color="auto"/>
              <w:left w:val="nil"/>
              <w:bottom w:val="single" w:sz="4" w:space="0" w:color="auto"/>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20"/>
                <w:szCs w:val="20"/>
              </w:rPr>
            </w:pPr>
            <w:r w:rsidRPr="00BE18F7">
              <w:rPr>
                <w:rFonts w:ascii="Times New Roman" w:eastAsia="Times New Roman" w:hAnsi="Times New Roman" w:cs="Times New Roman"/>
                <w:b/>
                <w:bCs/>
                <w:i/>
                <w:iCs/>
                <w:color w:val="000000" w:themeColor="text1"/>
                <w:sz w:val="20"/>
                <w:szCs w:val="20"/>
              </w:rPr>
              <w:t>Frequências</w:t>
            </w:r>
          </w:p>
        </w:tc>
        <w:tc>
          <w:tcPr>
            <w:tcW w:w="1220" w:type="dxa"/>
            <w:tcBorders>
              <w:top w:val="single" w:sz="8" w:space="0" w:color="auto"/>
              <w:left w:val="nil"/>
              <w:bottom w:val="single" w:sz="4" w:space="0" w:color="auto"/>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20"/>
                <w:szCs w:val="20"/>
              </w:rPr>
            </w:pPr>
            <w:r w:rsidRPr="00BE18F7">
              <w:rPr>
                <w:rFonts w:ascii="Times New Roman" w:eastAsia="Times New Roman" w:hAnsi="Times New Roman" w:cs="Times New Roman"/>
                <w:b/>
                <w:bCs/>
                <w:i/>
                <w:iCs/>
                <w:color w:val="000000" w:themeColor="text1"/>
                <w:sz w:val="20"/>
                <w:szCs w:val="20"/>
              </w:rPr>
              <w:t>Freq. Rel.</w:t>
            </w:r>
          </w:p>
        </w:tc>
        <w:tc>
          <w:tcPr>
            <w:tcW w:w="1310" w:type="dxa"/>
            <w:tcBorders>
              <w:top w:val="single" w:sz="8" w:space="0" w:color="auto"/>
              <w:left w:val="nil"/>
              <w:bottom w:val="single" w:sz="4" w:space="0" w:color="auto"/>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20"/>
                <w:szCs w:val="20"/>
              </w:rPr>
            </w:pPr>
            <w:r w:rsidRPr="00BE18F7">
              <w:rPr>
                <w:rFonts w:ascii="Times New Roman" w:eastAsia="Times New Roman" w:hAnsi="Times New Roman" w:cs="Times New Roman"/>
                <w:b/>
                <w:bCs/>
                <w:i/>
                <w:iCs/>
                <w:color w:val="000000" w:themeColor="text1"/>
                <w:sz w:val="20"/>
                <w:szCs w:val="20"/>
              </w:rPr>
              <w:t>Freq. Perc.</w:t>
            </w:r>
          </w:p>
        </w:tc>
        <w:tc>
          <w:tcPr>
            <w:tcW w:w="1310" w:type="dxa"/>
            <w:tcBorders>
              <w:top w:val="single" w:sz="8" w:space="0" w:color="auto"/>
              <w:left w:val="nil"/>
              <w:bottom w:val="single" w:sz="4" w:space="0" w:color="auto"/>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20"/>
                <w:szCs w:val="20"/>
              </w:rPr>
            </w:pPr>
            <w:r w:rsidRPr="00BE18F7">
              <w:rPr>
                <w:rFonts w:ascii="Times New Roman" w:eastAsia="Times New Roman" w:hAnsi="Times New Roman" w:cs="Times New Roman"/>
                <w:b/>
                <w:bCs/>
                <w:i/>
                <w:iCs/>
                <w:color w:val="000000" w:themeColor="text1"/>
                <w:sz w:val="20"/>
                <w:szCs w:val="20"/>
              </w:rPr>
              <w:t>Freq. Acum.</w:t>
            </w:r>
          </w:p>
        </w:tc>
      </w:tr>
      <w:tr w:rsidR="00050CB2" w:rsidRPr="00BE18F7" w:rsidTr="00DE1850">
        <w:trPr>
          <w:trHeight w:val="450"/>
        </w:trPr>
        <w:tc>
          <w:tcPr>
            <w:tcW w:w="394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Fatores que influenciam o estado de saúde e o contato com os serviços de saúde</w:t>
            </w:r>
          </w:p>
        </w:tc>
        <w:tc>
          <w:tcPr>
            <w:tcW w:w="1174"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147</w:t>
            </w:r>
          </w:p>
        </w:tc>
        <w:tc>
          <w:tcPr>
            <w:tcW w:w="12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0,16838488</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16,83848797</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16,83848797</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aparelho respiratório</w:t>
            </w:r>
          </w:p>
        </w:tc>
        <w:tc>
          <w:tcPr>
            <w:tcW w:w="1174"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126</w:t>
            </w:r>
          </w:p>
        </w:tc>
        <w:tc>
          <w:tcPr>
            <w:tcW w:w="12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0,1443299</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14,43298969</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31,27147766</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sistema osteomuscular e do tecido conjuntivo</w:t>
            </w:r>
          </w:p>
        </w:tc>
        <w:tc>
          <w:tcPr>
            <w:tcW w:w="1174"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119</w:t>
            </w:r>
          </w:p>
        </w:tc>
        <w:tc>
          <w:tcPr>
            <w:tcW w:w="12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0,13631157</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13,63115693</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44,90263459</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Transtornos mentais e comportamentais</w:t>
            </w:r>
          </w:p>
        </w:tc>
        <w:tc>
          <w:tcPr>
            <w:tcW w:w="1174"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76</w:t>
            </w:r>
          </w:p>
        </w:tc>
        <w:tc>
          <w:tcPr>
            <w:tcW w:w="12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0,08705613</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8,705612829</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53,60824742</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 xml:space="preserve"> Algumas doenças infecciosas e parasitárias</w:t>
            </w:r>
          </w:p>
        </w:tc>
        <w:tc>
          <w:tcPr>
            <w:tcW w:w="1174"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59</w:t>
            </w:r>
          </w:p>
        </w:tc>
        <w:tc>
          <w:tcPr>
            <w:tcW w:w="12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0,06758305</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6,758304696</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60,36655212</w:t>
            </w:r>
          </w:p>
        </w:tc>
      </w:tr>
      <w:tr w:rsidR="00050CB2" w:rsidRPr="00BE18F7" w:rsidTr="00DE1850">
        <w:trPr>
          <w:trHeight w:val="450"/>
        </w:trPr>
        <w:tc>
          <w:tcPr>
            <w:tcW w:w="394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 xml:space="preserve">Sintomas, sinais e achados anormais de exames clínicos e de laboratório, não classificados em outra </w:t>
            </w:r>
          </w:p>
        </w:tc>
        <w:tc>
          <w:tcPr>
            <w:tcW w:w="1174"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59</w:t>
            </w:r>
          </w:p>
        </w:tc>
        <w:tc>
          <w:tcPr>
            <w:tcW w:w="12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0,06758305</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6,758304696</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67,12485682</w:t>
            </w:r>
          </w:p>
        </w:tc>
      </w:tr>
      <w:tr w:rsidR="00050CB2" w:rsidRPr="00BE18F7" w:rsidTr="00DE1850">
        <w:trPr>
          <w:trHeight w:val="450"/>
        </w:trPr>
        <w:tc>
          <w:tcPr>
            <w:tcW w:w="394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Lesões, envenenamento e algumas outras conseqüências de causas externas</w:t>
            </w:r>
          </w:p>
        </w:tc>
        <w:tc>
          <w:tcPr>
            <w:tcW w:w="1174"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47</w:t>
            </w:r>
          </w:p>
        </w:tc>
        <w:tc>
          <w:tcPr>
            <w:tcW w:w="12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0,05383734</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5,38373425</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72,50859107</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aparelho digestivo</w:t>
            </w:r>
          </w:p>
        </w:tc>
        <w:tc>
          <w:tcPr>
            <w:tcW w:w="1174"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45</w:t>
            </w:r>
          </w:p>
        </w:tc>
        <w:tc>
          <w:tcPr>
            <w:tcW w:w="12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0,05154639</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5,154639175</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77,66323024</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olho e anexos</w:t>
            </w:r>
          </w:p>
        </w:tc>
        <w:tc>
          <w:tcPr>
            <w:tcW w:w="1174"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45</w:t>
            </w:r>
          </w:p>
        </w:tc>
        <w:tc>
          <w:tcPr>
            <w:tcW w:w="12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0,05154639</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5,154639175</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82,81786942</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aparelho geniturinário</w:t>
            </w:r>
          </w:p>
        </w:tc>
        <w:tc>
          <w:tcPr>
            <w:tcW w:w="1174"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44</w:t>
            </w:r>
          </w:p>
        </w:tc>
        <w:tc>
          <w:tcPr>
            <w:tcW w:w="12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0,05040092</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5,040091638</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87,85796105</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sistema nervoso</w:t>
            </w:r>
          </w:p>
        </w:tc>
        <w:tc>
          <w:tcPr>
            <w:tcW w:w="1174"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26</w:t>
            </w:r>
          </w:p>
        </w:tc>
        <w:tc>
          <w:tcPr>
            <w:tcW w:w="12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0,02978236</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2,978235968</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90,83619702</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aparelho circulatório</w:t>
            </w:r>
          </w:p>
        </w:tc>
        <w:tc>
          <w:tcPr>
            <w:tcW w:w="1174"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25</w:t>
            </w:r>
          </w:p>
        </w:tc>
        <w:tc>
          <w:tcPr>
            <w:tcW w:w="12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0,02863688</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2,863688431</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93,69988545</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da pele e do tecido subcutâneo</w:t>
            </w:r>
          </w:p>
        </w:tc>
        <w:tc>
          <w:tcPr>
            <w:tcW w:w="1174"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22</w:t>
            </w:r>
          </w:p>
        </w:tc>
        <w:tc>
          <w:tcPr>
            <w:tcW w:w="12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0,02520046</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2,520045819</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96,21993127</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Neoplasias [tumores]</w:t>
            </w:r>
          </w:p>
        </w:tc>
        <w:tc>
          <w:tcPr>
            <w:tcW w:w="1174"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12</w:t>
            </w:r>
          </w:p>
        </w:tc>
        <w:tc>
          <w:tcPr>
            <w:tcW w:w="12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0,0137457</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1,374570447</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97,59450172</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lastRenderedPageBreak/>
              <w:t>Gravidez, parto e puerpério</w:t>
            </w:r>
          </w:p>
        </w:tc>
        <w:tc>
          <w:tcPr>
            <w:tcW w:w="1174"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10</w:t>
            </w:r>
          </w:p>
        </w:tc>
        <w:tc>
          <w:tcPr>
            <w:tcW w:w="12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0,01145475</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1,145475372</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98,73997709</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ouvido e da apófise mastóide</w:t>
            </w:r>
          </w:p>
        </w:tc>
        <w:tc>
          <w:tcPr>
            <w:tcW w:w="1174"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9</w:t>
            </w:r>
          </w:p>
        </w:tc>
        <w:tc>
          <w:tcPr>
            <w:tcW w:w="12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0,01030928</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1,030927835</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99,77090493</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Causas externas de morbidade e de mortalidade</w:t>
            </w:r>
          </w:p>
        </w:tc>
        <w:tc>
          <w:tcPr>
            <w:tcW w:w="1174"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1</w:t>
            </w:r>
          </w:p>
        </w:tc>
        <w:tc>
          <w:tcPr>
            <w:tcW w:w="12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0,00114548</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0,114547537</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99,88545246</w:t>
            </w:r>
          </w:p>
        </w:tc>
      </w:tr>
      <w:tr w:rsidR="00050CB2" w:rsidRPr="00BE18F7" w:rsidTr="00DE1850">
        <w:trPr>
          <w:trHeight w:val="300"/>
        </w:trPr>
        <w:tc>
          <w:tcPr>
            <w:tcW w:w="394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endócrinas, nutricionais e metabólicas</w:t>
            </w:r>
          </w:p>
        </w:tc>
        <w:tc>
          <w:tcPr>
            <w:tcW w:w="1174"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1</w:t>
            </w:r>
          </w:p>
        </w:tc>
        <w:tc>
          <w:tcPr>
            <w:tcW w:w="12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0,00114548</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0,114547537</w:t>
            </w:r>
          </w:p>
        </w:tc>
        <w:tc>
          <w:tcPr>
            <w:tcW w:w="131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rPr>
            </w:pPr>
            <w:r w:rsidRPr="00BE18F7">
              <w:rPr>
                <w:rFonts w:ascii="Times New Roman" w:eastAsia="Times New Roman" w:hAnsi="Times New Roman" w:cs="Times New Roman"/>
                <w:color w:val="000000" w:themeColor="text1"/>
              </w:rPr>
              <w:t>100</w:t>
            </w:r>
          </w:p>
        </w:tc>
      </w:tr>
      <w:tr w:rsidR="00050CB2" w:rsidRPr="00BE18F7" w:rsidTr="00DE1850">
        <w:trPr>
          <w:trHeight w:val="315"/>
        </w:trPr>
        <w:tc>
          <w:tcPr>
            <w:tcW w:w="3940"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Total</w:t>
            </w:r>
          </w:p>
        </w:tc>
        <w:tc>
          <w:tcPr>
            <w:tcW w:w="1174"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873</w:t>
            </w:r>
          </w:p>
        </w:tc>
        <w:tc>
          <w:tcPr>
            <w:tcW w:w="1220"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 </w:t>
            </w:r>
          </w:p>
        </w:tc>
        <w:tc>
          <w:tcPr>
            <w:tcW w:w="1310"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 </w:t>
            </w:r>
          </w:p>
        </w:tc>
        <w:tc>
          <w:tcPr>
            <w:tcW w:w="1310"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 </w:t>
            </w:r>
          </w:p>
        </w:tc>
      </w:tr>
    </w:tbl>
    <w:p w:rsidR="00DE1850" w:rsidRPr="00DE1850" w:rsidRDefault="00DE1850" w:rsidP="00DE1850">
      <w:pPr>
        <w:spacing w:after="0" w:line="240" w:lineRule="auto"/>
        <w:ind w:firstLine="567"/>
        <w:jc w:val="both"/>
        <w:rPr>
          <w:rFonts w:ascii="Times New Roman" w:hAnsi="Times New Roman" w:cs="Times New Roman"/>
          <w:color w:val="000000" w:themeColor="text1"/>
          <w:sz w:val="18"/>
          <w:szCs w:val="18"/>
        </w:rPr>
      </w:pPr>
      <w:r w:rsidRPr="00DE1850">
        <w:rPr>
          <w:rFonts w:ascii="Times New Roman" w:hAnsi="Times New Roman" w:cs="Times New Roman"/>
          <w:color w:val="000000" w:themeColor="text1"/>
          <w:sz w:val="18"/>
          <w:szCs w:val="18"/>
        </w:rPr>
        <w:t>Fonte: Saída do software</w:t>
      </w:r>
    </w:p>
    <w:p w:rsidR="00050CB2" w:rsidRPr="00BE18F7" w:rsidRDefault="00050CB2" w:rsidP="00050CB2">
      <w:pPr>
        <w:spacing w:after="0" w:line="240" w:lineRule="auto"/>
        <w:rPr>
          <w:rFonts w:ascii="Times New Roman" w:hAnsi="Times New Roman" w:cs="Times New Roman"/>
          <w:b/>
          <w:color w:val="000000" w:themeColor="text1"/>
          <w:sz w:val="24"/>
          <w:szCs w:val="24"/>
        </w:rPr>
      </w:pPr>
    </w:p>
    <w:p w:rsidR="00050CB2" w:rsidRPr="00BE18F7" w:rsidRDefault="00050CB2" w:rsidP="00050CB2">
      <w:pPr>
        <w:spacing w:after="0" w:line="240" w:lineRule="auto"/>
        <w:ind w:firstLine="567"/>
        <w:jc w:val="both"/>
        <w:rPr>
          <w:rFonts w:ascii="Times New Roman" w:hAnsi="Times New Roman" w:cs="Times New Roman"/>
          <w:b/>
          <w:color w:val="000000" w:themeColor="text1"/>
          <w:sz w:val="24"/>
          <w:szCs w:val="24"/>
        </w:rPr>
      </w:pPr>
    </w:p>
    <w:p w:rsidR="00050CB2"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Considerando a frequência de afastamentos por cargo, observa-se que mais de 50% dos casos de afastamento envolveram profissionais de enfermagem (técnico de enfermagem, auxiliar de enfermagem e enfermeiro). Este, portanto, seria o público mais afetado e, assim, alvo principal de políticas de QVT preventivo (</w:t>
      </w:r>
      <w:r w:rsidR="00EF26A3">
        <w:rPr>
          <w:rFonts w:ascii="Times New Roman" w:hAnsi="Times New Roman" w:cs="Times New Roman"/>
          <w:color w:val="000000" w:themeColor="text1"/>
          <w:sz w:val="24"/>
          <w:szCs w:val="24"/>
        </w:rPr>
        <w:t>Tabela 5</w:t>
      </w:r>
      <w:r w:rsidRPr="00BE18F7">
        <w:rPr>
          <w:rFonts w:ascii="Times New Roman" w:hAnsi="Times New Roman" w:cs="Times New Roman"/>
          <w:color w:val="000000" w:themeColor="text1"/>
          <w:sz w:val="24"/>
          <w:szCs w:val="24"/>
        </w:rPr>
        <w:t>)</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p>
    <w:p w:rsidR="00050CB2" w:rsidRPr="00165ABE" w:rsidRDefault="00050CB2" w:rsidP="00050CB2">
      <w:pPr>
        <w:pStyle w:val="Legenda"/>
        <w:keepNext/>
        <w:rPr>
          <w:rFonts w:ascii="Times New Roman" w:hAnsi="Times New Roman" w:cs="Times New Roman"/>
          <w:color w:val="000000" w:themeColor="text1"/>
          <w:sz w:val="16"/>
          <w:szCs w:val="16"/>
        </w:rPr>
      </w:pPr>
      <w:r w:rsidRPr="00165ABE">
        <w:rPr>
          <w:rFonts w:ascii="Times New Roman" w:hAnsi="Times New Roman" w:cs="Times New Roman"/>
          <w:color w:val="000000" w:themeColor="text1"/>
          <w:sz w:val="16"/>
          <w:szCs w:val="16"/>
        </w:rPr>
        <w:t xml:space="preserve">Tabela </w:t>
      </w:r>
      <w:r w:rsidR="00EF26A3">
        <w:rPr>
          <w:rFonts w:ascii="Times New Roman" w:hAnsi="Times New Roman" w:cs="Times New Roman"/>
          <w:color w:val="000000" w:themeColor="text1"/>
          <w:sz w:val="16"/>
          <w:szCs w:val="16"/>
        </w:rPr>
        <w:t>5</w:t>
      </w:r>
      <w:r w:rsidRPr="00165ABE">
        <w:rPr>
          <w:rFonts w:ascii="Times New Roman" w:hAnsi="Times New Roman" w:cs="Times New Roman"/>
          <w:color w:val="000000" w:themeColor="text1"/>
          <w:sz w:val="16"/>
          <w:szCs w:val="16"/>
        </w:rPr>
        <w:t>: Distribuição de frequência - cargo</w:t>
      </w:r>
    </w:p>
    <w:tbl>
      <w:tblPr>
        <w:tblW w:w="8732" w:type="dxa"/>
        <w:tblInd w:w="53" w:type="dxa"/>
        <w:tblCellMar>
          <w:left w:w="70" w:type="dxa"/>
          <w:right w:w="70" w:type="dxa"/>
        </w:tblCellMar>
        <w:tblLook w:val="04A0" w:firstRow="1" w:lastRow="0" w:firstColumn="1" w:lastColumn="0" w:noHBand="0" w:noVBand="1"/>
      </w:tblPr>
      <w:tblGrid>
        <w:gridCol w:w="3760"/>
        <w:gridCol w:w="1132"/>
        <w:gridCol w:w="1220"/>
        <w:gridCol w:w="1310"/>
        <w:gridCol w:w="1310"/>
      </w:tblGrid>
      <w:tr w:rsidR="00050CB2" w:rsidRPr="00165ABE" w:rsidTr="00654079">
        <w:trPr>
          <w:trHeight w:val="300"/>
        </w:trPr>
        <w:tc>
          <w:tcPr>
            <w:tcW w:w="376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Cargo</w:t>
            </w:r>
          </w:p>
        </w:tc>
        <w:tc>
          <w:tcPr>
            <w:tcW w:w="1132"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Frequências</w:t>
            </w:r>
          </w:p>
        </w:tc>
        <w:tc>
          <w:tcPr>
            <w:tcW w:w="122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 Rel.</w:t>
            </w:r>
          </w:p>
        </w:tc>
        <w:tc>
          <w:tcPr>
            <w:tcW w:w="131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 Perc.</w:t>
            </w:r>
          </w:p>
        </w:tc>
        <w:tc>
          <w:tcPr>
            <w:tcW w:w="1310" w:type="dxa"/>
            <w:tcBorders>
              <w:top w:val="single" w:sz="8" w:space="0" w:color="auto"/>
              <w:left w:val="nil"/>
              <w:bottom w:val="single" w:sz="4"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165ABE">
              <w:rPr>
                <w:rFonts w:ascii="Times New Roman" w:eastAsia="Times New Roman" w:hAnsi="Times New Roman" w:cs="Times New Roman"/>
                <w:b/>
                <w:bCs/>
                <w:i/>
                <w:iCs/>
                <w:color w:val="000000" w:themeColor="text1"/>
                <w:sz w:val="16"/>
                <w:szCs w:val="16"/>
              </w:rPr>
              <w:t>Freq. Acum.</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TEC. EM ENFERMAGEM</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319</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0,36540664</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36,54066438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36,54066438</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AUXILIAR DE ENFERMAGEM</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96</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0,10996564</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10,99656357</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47,53722795</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ASSISTENTE ADMINISTRATIVO</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68</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0,07789233</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7,789232532</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55,32646048</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ENFERMEIRO</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68</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0,07789233</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7,789232532</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63,11569301</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MÉDICO</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38</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0,04352806</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4,352806415</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67,46849943</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AUXILIAR ADMINISTRATIVO</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30</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0,03436426</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3,436426117</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70,90492554</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TEC. EM LABORATORIO</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26</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0,02978236</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2,978235968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73,88316151</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AUXILIAR DE COZINHA</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24</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0,02749141</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2,749140893</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76,63230241</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OPERADOR DE MAQ. DE LAVANDERIA</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23</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0,02634593</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2,634593356</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79,26689576</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ASCENSORISTA</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18</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0,02061856</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2,06185567</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81,32875143</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AUXILIAR DE LABORATORIO</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13</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0,01489118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1,489117984</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82,81786942</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FARMACEUTICO</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13</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0,01489118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1,489117984</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84,3069874</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Não informado</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11</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0,01260023</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1,26002291</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85,56701031</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TEC. EM RADIOLOGIA</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11</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0,01260023</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1,26002291</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86,82703322</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COPEIRO</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0,01145475</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1,145475372</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87,97250859</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PROFESSOR</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0,01145475</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1,145475372</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89,11798396</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BIOLOGO</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0,01030928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1,030927835</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90,1489118</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COSTUREIRO</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0,01030928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1,030927835</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91,17983963</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PORTEIRO</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0,01030928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1,030927835</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92,21076747</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AUXILIAR DE NUTRICAO</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8</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0,0091638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0,916380298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93,12714777</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NUTRICIONISTA</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7</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0,00801833</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0,801832761</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93,92898053</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AUXILIAR OPERACIONAL</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0,00687285</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0,687285223</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94,61626575</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FISIOTERAPEUTA</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0,00687285</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0,687285223</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95,30355097</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PSICOLOGO</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6</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0,00687285</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0,687285223</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95,9908362</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AUXILIAR DE ANATOMIA E NECROPSIA</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5</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0,00572738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0,572737686</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96,56357388</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TEC. EM NUTRICAO E DIETETICA</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5</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0,00572738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0,572737686</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97,13631157</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lastRenderedPageBreak/>
              <w:t>TELEFONISTA</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4</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0,0045819</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0,458190149</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97,59450172</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TERAPEUTA OCUPACIONAL</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4</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0,0045819</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0,458190149</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98,05269187</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ASSISTENTE SOCIAL</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3</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0,00343643</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0,343642612</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98,39633448</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ADMINISTRADOR</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0,00229095</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0,229095074</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98,62542955</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BIBLIOTECÁRIO</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0,00229095</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0,229095074</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98,85452463</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ELETRICISTA</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0,00229095</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0,229095074</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99,0836197</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MOTORISTA</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2</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0,00229095</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0,229095074</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99,31271478</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ENGENHEIRO MECÂNICO</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0,00114548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0,114547537</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99,42726231</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ODONTOLOGO</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0,00114548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0,114547537</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99,54180985</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OPERADOR DE CALDEIRA</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0,00114548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0,114547537</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99,65635739</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TEC. EM ANATOMIA E NECROPSIA</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0,00114548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0,114547537</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99,77090493</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TEC. EM CONTABILIDADE</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0,00114548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0,114547537</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99,88545246</w:t>
            </w:r>
          </w:p>
        </w:tc>
      </w:tr>
      <w:tr w:rsidR="00050CB2" w:rsidRPr="00165ABE" w:rsidTr="00654079">
        <w:trPr>
          <w:trHeight w:val="300"/>
        </w:trPr>
        <w:tc>
          <w:tcPr>
            <w:tcW w:w="376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TEC. EM FARMACIA</w:t>
            </w:r>
          </w:p>
        </w:tc>
        <w:tc>
          <w:tcPr>
            <w:tcW w:w="1132"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w:t>
            </w:r>
          </w:p>
        </w:tc>
        <w:tc>
          <w:tcPr>
            <w:tcW w:w="122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0,00114548</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0,114547537</w:t>
            </w:r>
          </w:p>
        </w:tc>
        <w:tc>
          <w:tcPr>
            <w:tcW w:w="1310" w:type="dxa"/>
            <w:tcBorders>
              <w:top w:val="nil"/>
              <w:left w:val="nil"/>
              <w:bottom w:val="nil"/>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165ABE">
              <w:rPr>
                <w:rFonts w:ascii="Times New Roman" w:eastAsia="Times New Roman" w:hAnsi="Times New Roman" w:cs="Times New Roman"/>
                <w:color w:val="000000" w:themeColor="text1"/>
                <w:sz w:val="16"/>
                <w:szCs w:val="16"/>
              </w:rPr>
              <w:t>100</w:t>
            </w:r>
          </w:p>
        </w:tc>
      </w:tr>
      <w:tr w:rsidR="00050CB2" w:rsidRPr="00165ABE" w:rsidTr="00654079">
        <w:trPr>
          <w:trHeight w:val="315"/>
        </w:trPr>
        <w:tc>
          <w:tcPr>
            <w:tcW w:w="376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165ABE">
              <w:rPr>
                <w:rFonts w:ascii="Times New Roman" w:eastAsia="Times New Roman" w:hAnsi="Times New Roman" w:cs="Times New Roman"/>
                <w:b/>
                <w:bCs/>
                <w:color w:val="000000" w:themeColor="text1"/>
                <w:sz w:val="16"/>
                <w:szCs w:val="16"/>
              </w:rPr>
              <w:t>Total</w:t>
            </w:r>
          </w:p>
        </w:tc>
        <w:tc>
          <w:tcPr>
            <w:tcW w:w="1132"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165ABE">
              <w:rPr>
                <w:rFonts w:ascii="Times New Roman" w:eastAsia="Times New Roman" w:hAnsi="Times New Roman" w:cs="Times New Roman"/>
                <w:b/>
                <w:bCs/>
                <w:color w:val="000000" w:themeColor="text1"/>
                <w:sz w:val="16"/>
                <w:szCs w:val="16"/>
              </w:rPr>
              <w:t>873</w:t>
            </w:r>
          </w:p>
        </w:tc>
        <w:tc>
          <w:tcPr>
            <w:tcW w:w="122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165ABE">
              <w:rPr>
                <w:rFonts w:ascii="Times New Roman" w:eastAsia="Times New Roman" w:hAnsi="Times New Roman" w:cs="Times New Roman"/>
                <w:b/>
                <w:bCs/>
                <w:color w:val="000000" w:themeColor="text1"/>
                <w:sz w:val="16"/>
                <w:szCs w:val="16"/>
              </w:rPr>
              <w:t> </w:t>
            </w:r>
          </w:p>
        </w:tc>
        <w:tc>
          <w:tcPr>
            <w:tcW w:w="131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165ABE">
              <w:rPr>
                <w:rFonts w:ascii="Times New Roman" w:eastAsia="Times New Roman" w:hAnsi="Times New Roman" w:cs="Times New Roman"/>
                <w:b/>
                <w:bCs/>
                <w:color w:val="000000" w:themeColor="text1"/>
                <w:sz w:val="16"/>
                <w:szCs w:val="16"/>
              </w:rPr>
              <w:t> </w:t>
            </w:r>
          </w:p>
        </w:tc>
        <w:tc>
          <w:tcPr>
            <w:tcW w:w="1310" w:type="dxa"/>
            <w:tcBorders>
              <w:top w:val="single" w:sz="4" w:space="0" w:color="auto"/>
              <w:left w:val="nil"/>
              <w:bottom w:val="single" w:sz="8" w:space="0" w:color="auto"/>
              <w:right w:val="nil"/>
            </w:tcBorders>
            <w:shd w:val="clear" w:color="auto" w:fill="auto"/>
            <w:noWrap/>
            <w:vAlign w:val="bottom"/>
            <w:hideMark/>
          </w:tcPr>
          <w:p w:rsidR="00050CB2" w:rsidRPr="00165ABE"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165ABE">
              <w:rPr>
                <w:rFonts w:ascii="Times New Roman" w:eastAsia="Times New Roman" w:hAnsi="Times New Roman" w:cs="Times New Roman"/>
                <w:b/>
                <w:bCs/>
                <w:color w:val="000000" w:themeColor="text1"/>
                <w:sz w:val="16"/>
                <w:szCs w:val="16"/>
              </w:rPr>
              <w:t> </w:t>
            </w:r>
          </w:p>
        </w:tc>
      </w:tr>
    </w:tbl>
    <w:p w:rsidR="00DE1850" w:rsidRPr="00DE1850" w:rsidRDefault="00DE1850" w:rsidP="00DE1850">
      <w:pPr>
        <w:spacing w:after="0" w:line="240" w:lineRule="auto"/>
        <w:ind w:firstLine="567"/>
        <w:jc w:val="both"/>
        <w:rPr>
          <w:rFonts w:ascii="Times New Roman" w:hAnsi="Times New Roman" w:cs="Times New Roman"/>
          <w:color w:val="000000" w:themeColor="text1"/>
          <w:sz w:val="18"/>
          <w:szCs w:val="18"/>
        </w:rPr>
      </w:pPr>
      <w:r w:rsidRPr="00DE1850">
        <w:rPr>
          <w:rFonts w:ascii="Times New Roman" w:hAnsi="Times New Roman" w:cs="Times New Roman"/>
          <w:color w:val="000000" w:themeColor="text1"/>
          <w:sz w:val="18"/>
          <w:szCs w:val="18"/>
        </w:rPr>
        <w:t>Fonte: Saída do software</w:t>
      </w:r>
    </w:p>
    <w:p w:rsidR="00050CB2" w:rsidRPr="00165ABE" w:rsidRDefault="00050CB2" w:rsidP="00050CB2">
      <w:pPr>
        <w:spacing w:after="0" w:line="240" w:lineRule="auto"/>
        <w:rPr>
          <w:rFonts w:ascii="Times New Roman" w:hAnsi="Times New Roman" w:cs="Times New Roman"/>
          <w:b/>
          <w:color w:val="000000" w:themeColor="text1"/>
          <w:sz w:val="16"/>
          <w:szCs w:val="16"/>
        </w:rPr>
      </w:pPr>
    </w:p>
    <w:p w:rsidR="00050CB2" w:rsidRPr="00BE18F7" w:rsidRDefault="00050CB2" w:rsidP="00050CB2">
      <w:pPr>
        <w:spacing w:after="0" w:line="240" w:lineRule="auto"/>
        <w:ind w:firstLine="567"/>
        <w:jc w:val="both"/>
        <w:rPr>
          <w:rFonts w:ascii="Times New Roman" w:hAnsi="Times New Roman" w:cs="Times New Roman"/>
          <w:b/>
          <w:color w:val="000000" w:themeColor="text1"/>
          <w:sz w:val="24"/>
          <w:szCs w:val="24"/>
        </w:rPr>
      </w:pPr>
    </w:p>
    <w:p w:rsidR="00050CB2"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Sendo os profissionais de enfermagem aqueles que mais afastaram no período considerado é possível ainda verificar que, analisando esses cargos em separado e cruzando os dados com as informações de CID</w:t>
      </w:r>
      <w:r w:rsidR="004731AC">
        <w:rPr>
          <w:rFonts w:ascii="Times New Roman" w:hAnsi="Times New Roman" w:cs="Times New Roman"/>
          <w:color w:val="000000" w:themeColor="text1"/>
          <w:sz w:val="24"/>
          <w:szCs w:val="24"/>
        </w:rPr>
        <w:t xml:space="preserve"> (Tabela </w:t>
      </w:r>
      <w:r w:rsidR="00EF26A3">
        <w:rPr>
          <w:rFonts w:ascii="Times New Roman" w:hAnsi="Times New Roman" w:cs="Times New Roman"/>
          <w:color w:val="000000" w:themeColor="text1"/>
          <w:sz w:val="24"/>
          <w:szCs w:val="24"/>
        </w:rPr>
        <w:t>6</w:t>
      </w:r>
      <w:r w:rsidR="004731AC">
        <w:rPr>
          <w:rFonts w:ascii="Times New Roman" w:hAnsi="Times New Roman" w:cs="Times New Roman"/>
          <w:color w:val="000000" w:themeColor="text1"/>
          <w:sz w:val="24"/>
          <w:szCs w:val="24"/>
        </w:rPr>
        <w:t>)</w:t>
      </w:r>
      <w:r w:rsidRPr="00BE18F7">
        <w:rPr>
          <w:rFonts w:ascii="Times New Roman" w:hAnsi="Times New Roman" w:cs="Times New Roman"/>
          <w:color w:val="000000" w:themeColor="text1"/>
          <w:sz w:val="24"/>
          <w:szCs w:val="24"/>
        </w:rPr>
        <w:t>, os quatro principais causadores de afastamento permanecem, alterando-se apenas a ordem entre as doenças respiratórias que perderam o lugar para as doenças do sistema osteomuscular. Tratam-se, portanto, de áreas críticas de atenção.</w:t>
      </w: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p>
    <w:p w:rsidR="00050CB2" w:rsidRPr="00BE18F7" w:rsidRDefault="00050CB2" w:rsidP="00050CB2">
      <w:pPr>
        <w:pStyle w:val="Legenda"/>
        <w:keepNext/>
        <w:rPr>
          <w:rFonts w:ascii="Times New Roman" w:hAnsi="Times New Roman" w:cs="Times New Roman"/>
          <w:color w:val="000000" w:themeColor="text1"/>
        </w:rPr>
      </w:pPr>
      <w:r w:rsidRPr="00BE18F7">
        <w:rPr>
          <w:rFonts w:ascii="Times New Roman" w:hAnsi="Times New Roman" w:cs="Times New Roman"/>
          <w:color w:val="000000" w:themeColor="text1"/>
        </w:rPr>
        <w:t xml:space="preserve">Tabela </w:t>
      </w:r>
      <w:r w:rsidR="00EF26A3">
        <w:rPr>
          <w:rFonts w:ascii="Times New Roman" w:hAnsi="Times New Roman" w:cs="Times New Roman"/>
          <w:color w:val="000000" w:themeColor="text1"/>
        </w:rPr>
        <w:t>6</w:t>
      </w:r>
      <w:r w:rsidRPr="00BE18F7">
        <w:rPr>
          <w:rFonts w:ascii="Times New Roman" w:hAnsi="Times New Roman" w:cs="Times New Roman"/>
          <w:color w:val="000000" w:themeColor="text1"/>
        </w:rPr>
        <w:t>: Análise Cargo Profissionais de Enfermagem x CID</w:t>
      </w:r>
    </w:p>
    <w:tbl>
      <w:tblPr>
        <w:tblW w:w="10308" w:type="dxa"/>
        <w:jc w:val="center"/>
        <w:tblCellMar>
          <w:left w:w="70" w:type="dxa"/>
          <w:right w:w="70" w:type="dxa"/>
        </w:tblCellMar>
        <w:tblLook w:val="04A0" w:firstRow="1" w:lastRow="0" w:firstColumn="1" w:lastColumn="0" w:noHBand="0" w:noVBand="1"/>
      </w:tblPr>
      <w:tblGrid>
        <w:gridCol w:w="3800"/>
        <w:gridCol w:w="1296"/>
        <w:gridCol w:w="1216"/>
        <w:gridCol w:w="1296"/>
        <w:gridCol w:w="580"/>
        <w:gridCol w:w="1000"/>
        <w:gridCol w:w="1120"/>
      </w:tblGrid>
      <w:tr w:rsidR="00050CB2" w:rsidRPr="00BE18F7" w:rsidTr="00DE1850">
        <w:trPr>
          <w:trHeight w:val="675"/>
          <w:jc w:val="center"/>
        </w:trPr>
        <w:tc>
          <w:tcPr>
            <w:tcW w:w="3800" w:type="dxa"/>
            <w:tcBorders>
              <w:top w:val="single" w:sz="8" w:space="0" w:color="auto"/>
              <w:left w:val="nil"/>
              <w:bottom w:val="single" w:sz="4" w:space="0" w:color="auto"/>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20"/>
                <w:szCs w:val="20"/>
              </w:rPr>
            </w:pPr>
            <w:r w:rsidRPr="00BE18F7">
              <w:rPr>
                <w:rFonts w:ascii="Times New Roman" w:eastAsia="Times New Roman" w:hAnsi="Times New Roman" w:cs="Times New Roman"/>
                <w:b/>
                <w:bCs/>
                <w:i/>
                <w:iCs/>
                <w:color w:val="000000" w:themeColor="text1"/>
                <w:sz w:val="20"/>
                <w:szCs w:val="20"/>
              </w:rPr>
              <w:t>CID</w:t>
            </w:r>
          </w:p>
        </w:tc>
        <w:tc>
          <w:tcPr>
            <w:tcW w:w="1296" w:type="dxa"/>
            <w:tcBorders>
              <w:top w:val="single" w:sz="8" w:space="0" w:color="auto"/>
              <w:left w:val="nil"/>
              <w:bottom w:val="single" w:sz="4" w:space="0" w:color="auto"/>
              <w:right w:val="nil"/>
            </w:tcBorders>
            <w:shd w:val="clear" w:color="auto" w:fill="auto"/>
            <w:vAlign w:val="center"/>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AUXILIAR DE ENFERMAGEM</w:t>
            </w:r>
          </w:p>
        </w:tc>
        <w:tc>
          <w:tcPr>
            <w:tcW w:w="1216" w:type="dxa"/>
            <w:tcBorders>
              <w:top w:val="single" w:sz="8" w:space="0" w:color="auto"/>
              <w:left w:val="nil"/>
              <w:bottom w:val="single" w:sz="4" w:space="0" w:color="auto"/>
              <w:right w:val="nil"/>
            </w:tcBorders>
            <w:shd w:val="clear" w:color="auto" w:fill="auto"/>
            <w:vAlign w:val="center"/>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ENFERMEIRO</w:t>
            </w:r>
          </w:p>
        </w:tc>
        <w:tc>
          <w:tcPr>
            <w:tcW w:w="1296" w:type="dxa"/>
            <w:tcBorders>
              <w:top w:val="single" w:sz="8" w:space="0" w:color="auto"/>
              <w:left w:val="nil"/>
              <w:bottom w:val="single" w:sz="4" w:space="0" w:color="auto"/>
              <w:right w:val="nil"/>
            </w:tcBorders>
            <w:shd w:val="clear" w:color="auto" w:fill="auto"/>
            <w:vAlign w:val="center"/>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TEC. EM ENFERMAGEM</w:t>
            </w:r>
          </w:p>
        </w:tc>
        <w:tc>
          <w:tcPr>
            <w:tcW w:w="580" w:type="dxa"/>
            <w:tcBorders>
              <w:top w:val="single" w:sz="8" w:space="0" w:color="auto"/>
              <w:left w:val="nil"/>
              <w:bottom w:val="single" w:sz="4" w:space="0" w:color="auto"/>
              <w:right w:val="nil"/>
            </w:tcBorders>
            <w:shd w:val="clear" w:color="auto" w:fill="auto"/>
            <w:vAlign w:val="center"/>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20"/>
                <w:szCs w:val="20"/>
              </w:rPr>
            </w:pPr>
            <w:r w:rsidRPr="00BE18F7">
              <w:rPr>
                <w:rFonts w:ascii="Times New Roman" w:eastAsia="Times New Roman" w:hAnsi="Times New Roman" w:cs="Times New Roman"/>
                <w:b/>
                <w:bCs/>
                <w:i/>
                <w:iCs/>
                <w:color w:val="000000" w:themeColor="text1"/>
                <w:sz w:val="20"/>
                <w:szCs w:val="20"/>
              </w:rPr>
              <w:t>Total</w:t>
            </w:r>
          </w:p>
        </w:tc>
        <w:tc>
          <w:tcPr>
            <w:tcW w:w="1000" w:type="dxa"/>
            <w:tcBorders>
              <w:top w:val="single" w:sz="8" w:space="0" w:color="auto"/>
              <w:left w:val="nil"/>
              <w:bottom w:val="single" w:sz="4" w:space="0" w:color="auto"/>
              <w:right w:val="nil"/>
            </w:tcBorders>
            <w:shd w:val="clear" w:color="auto" w:fill="auto"/>
            <w:vAlign w:val="center"/>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20"/>
                <w:szCs w:val="20"/>
              </w:rPr>
            </w:pPr>
            <w:r w:rsidRPr="00BE18F7">
              <w:rPr>
                <w:rFonts w:ascii="Times New Roman" w:eastAsia="Times New Roman" w:hAnsi="Times New Roman" w:cs="Times New Roman"/>
                <w:b/>
                <w:bCs/>
                <w:i/>
                <w:iCs/>
                <w:color w:val="000000" w:themeColor="text1"/>
                <w:sz w:val="20"/>
                <w:szCs w:val="20"/>
              </w:rPr>
              <w:t>Freq. Perc.</w:t>
            </w:r>
          </w:p>
        </w:tc>
        <w:tc>
          <w:tcPr>
            <w:tcW w:w="1120" w:type="dxa"/>
            <w:tcBorders>
              <w:top w:val="single" w:sz="8" w:space="0" w:color="auto"/>
              <w:left w:val="nil"/>
              <w:bottom w:val="single" w:sz="4" w:space="0" w:color="auto"/>
              <w:right w:val="nil"/>
            </w:tcBorders>
            <w:shd w:val="clear" w:color="auto" w:fill="auto"/>
            <w:vAlign w:val="center"/>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20"/>
                <w:szCs w:val="20"/>
              </w:rPr>
            </w:pPr>
            <w:r w:rsidRPr="00BE18F7">
              <w:rPr>
                <w:rFonts w:ascii="Times New Roman" w:eastAsia="Times New Roman" w:hAnsi="Times New Roman" w:cs="Times New Roman"/>
                <w:b/>
                <w:bCs/>
                <w:i/>
                <w:iCs/>
                <w:color w:val="000000" w:themeColor="text1"/>
                <w:sz w:val="20"/>
                <w:szCs w:val="20"/>
              </w:rPr>
              <w:t>Freq. Acum.</w:t>
            </w:r>
          </w:p>
        </w:tc>
      </w:tr>
      <w:tr w:rsidR="00050CB2" w:rsidRPr="00BE18F7" w:rsidTr="00DE1850">
        <w:trPr>
          <w:trHeight w:val="450"/>
          <w:jc w:val="center"/>
        </w:trPr>
        <w:tc>
          <w:tcPr>
            <w:tcW w:w="380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Fatores que influenciam o estado de saúde e o contato com os serviços de saúde</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16</w:t>
            </w:r>
          </w:p>
        </w:tc>
        <w:tc>
          <w:tcPr>
            <w:tcW w:w="121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12</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51</w:t>
            </w:r>
          </w:p>
        </w:tc>
        <w:tc>
          <w:tcPr>
            <w:tcW w:w="58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79</w:t>
            </w:r>
          </w:p>
        </w:tc>
        <w:tc>
          <w:tcPr>
            <w:tcW w:w="100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16,35611</w:t>
            </w:r>
          </w:p>
        </w:tc>
        <w:tc>
          <w:tcPr>
            <w:tcW w:w="11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16,35611</w:t>
            </w:r>
          </w:p>
        </w:tc>
      </w:tr>
      <w:tr w:rsidR="00050CB2" w:rsidRPr="00BE18F7" w:rsidTr="00DE1850">
        <w:trPr>
          <w:trHeight w:val="450"/>
          <w:jc w:val="center"/>
        </w:trPr>
        <w:tc>
          <w:tcPr>
            <w:tcW w:w="380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sistema osteomuscular e do tecido conjuntivo</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19</w:t>
            </w:r>
          </w:p>
        </w:tc>
        <w:tc>
          <w:tcPr>
            <w:tcW w:w="121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5</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49</w:t>
            </w:r>
          </w:p>
        </w:tc>
        <w:tc>
          <w:tcPr>
            <w:tcW w:w="58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73</w:t>
            </w:r>
          </w:p>
        </w:tc>
        <w:tc>
          <w:tcPr>
            <w:tcW w:w="100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15,11387</w:t>
            </w:r>
          </w:p>
        </w:tc>
        <w:tc>
          <w:tcPr>
            <w:tcW w:w="11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31,46998</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aparelho respiratório</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9</w:t>
            </w:r>
          </w:p>
        </w:tc>
        <w:tc>
          <w:tcPr>
            <w:tcW w:w="121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18</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39</w:t>
            </w:r>
          </w:p>
        </w:tc>
        <w:tc>
          <w:tcPr>
            <w:tcW w:w="58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66</w:t>
            </w:r>
          </w:p>
        </w:tc>
        <w:tc>
          <w:tcPr>
            <w:tcW w:w="100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13,66460</w:t>
            </w:r>
          </w:p>
        </w:tc>
        <w:tc>
          <w:tcPr>
            <w:tcW w:w="11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45,13458</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Transtornos mentais e comportamentais</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7</w:t>
            </w:r>
          </w:p>
        </w:tc>
        <w:tc>
          <w:tcPr>
            <w:tcW w:w="121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7</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27</w:t>
            </w:r>
          </w:p>
        </w:tc>
        <w:tc>
          <w:tcPr>
            <w:tcW w:w="58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41</w:t>
            </w:r>
          </w:p>
        </w:tc>
        <w:tc>
          <w:tcPr>
            <w:tcW w:w="100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8,488613</w:t>
            </w:r>
          </w:p>
        </w:tc>
        <w:tc>
          <w:tcPr>
            <w:tcW w:w="11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53,62319</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 xml:space="preserve"> Algumas doenças infecciosas e parasitárias</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7</w:t>
            </w:r>
          </w:p>
        </w:tc>
        <w:tc>
          <w:tcPr>
            <w:tcW w:w="121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4</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27</w:t>
            </w:r>
          </w:p>
        </w:tc>
        <w:tc>
          <w:tcPr>
            <w:tcW w:w="58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38</w:t>
            </w:r>
          </w:p>
        </w:tc>
        <w:tc>
          <w:tcPr>
            <w:tcW w:w="100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7,867495</w:t>
            </w:r>
          </w:p>
        </w:tc>
        <w:tc>
          <w:tcPr>
            <w:tcW w:w="11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61,49068</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aparelho geniturinário</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8</w:t>
            </w:r>
          </w:p>
        </w:tc>
        <w:tc>
          <w:tcPr>
            <w:tcW w:w="121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4</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20</w:t>
            </w:r>
          </w:p>
        </w:tc>
        <w:tc>
          <w:tcPr>
            <w:tcW w:w="58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32</w:t>
            </w:r>
          </w:p>
        </w:tc>
        <w:tc>
          <w:tcPr>
            <w:tcW w:w="100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6,625259</w:t>
            </w:r>
          </w:p>
        </w:tc>
        <w:tc>
          <w:tcPr>
            <w:tcW w:w="11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68,11594</w:t>
            </w:r>
          </w:p>
        </w:tc>
      </w:tr>
      <w:tr w:rsidR="00050CB2" w:rsidRPr="00BE18F7" w:rsidTr="00DE1850">
        <w:trPr>
          <w:trHeight w:val="480"/>
          <w:jc w:val="center"/>
        </w:trPr>
        <w:tc>
          <w:tcPr>
            <w:tcW w:w="380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 xml:space="preserve">Sintomas, sinais e achados anormais de exames clínicos e de laboratório, não classificados em outra </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4</w:t>
            </w:r>
          </w:p>
        </w:tc>
        <w:tc>
          <w:tcPr>
            <w:tcW w:w="121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5</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22</w:t>
            </w:r>
          </w:p>
        </w:tc>
        <w:tc>
          <w:tcPr>
            <w:tcW w:w="58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31</w:t>
            </w:r>
          </w:p>
        </w:tc>
        <w:tc>
          <w:tcPr>
            <w:tcW w:w="100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6,418219</w:t>
            </w:r>
          </w:p>
        </w:tc>
        <w:tc>
          <w:tcPr>
            <w:tcW w:w="11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74,53416</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aparelho digestivo</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10</w:t>
            </w:r>
          </w:p>
        </w:tc>
        <w:tc>
          <w:tcPr>
            <w:tcW w:w="121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12</w:t>
            </w:r>
          </w:p>
        </w:tc>
        <w:tc>
          <w:tcPr>
            <w:tcW w:w="58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25</w:t>
            </w:r>
          </w:p>
        </w:tc>
        <w:tc>
          <w:tcPr>
            <w:tcW w:w="100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5,175983</w:t>
            </w:r>
          </w:p>
        </w:tc>
        <w:tc>
          <w:tcPr>
            <w:tcW w:w="11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79,71014</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olho e anexos</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w:t>
            </w:r>
          </w:p>
        </w:tc>
        <w:tc>
          <w:tcPr>
            <w:tcW w:w="121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5</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16</w:t>
            </w:r>
          </w:p>
        </w:tc>
        <w:tc>
          <w:tcPr>
            <w:tcW w:w="58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23</w:t>
            </w:r>
          </w:p>
        </w:tc>
        <w:tc>
          <w:tcPr>
            <w:tcW w:w="100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4,761905</w:t>
            </w:r>
          </w:p>
        </w:tc>
        <w:tc>
          <w:tcPr>
            <w:tcW w:w="11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84,47205</w:t>
            </w:r>
          </w:p>
        </w:tc>
      </w:tr>
      <w:tr w:rsidR="00050CB2" w:rsidRPr="00BE18F7" w:rsidTr="00DE1850">
        <w:trPr>
          <w:trHeight w:val="450"/>
          <w:jc w:val="center"/>
        </w:trPr>
        <w:tc>
          <w:tcPr>
            <w:tcW w:w="380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Lesões, envenenamento e algumas outras conseqüências de causas externas</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5</w:t>
            </w:r>
          </w:p>
        </w:tc>
        <w:tc>
          <w:tcPr>
            <w:tcW w:w="121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11</w:t>
            </w:r>
          </w:p>
        </w:tc>
        <w:tc>
          <w:tcPr>
            <w:tcW w:w="58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18</w:t>
            </w:r>
          </w:p>
        </w:tc>
        <w:tc>
          <w:tcPr>
            <w:tcW w:w="100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3,726708</w:t>
            </w:r>
          </w:p>
        </w:tc>
        <w:tc>
          <w:tcPr>
            <w:tcW w:w="11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88,19876</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sistema nervoso</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w:t>
            </w:r>
          </w:p>
        </w:tc>
        <w:tc>
          <w:tcPr>
            <w:tcW w:w="121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12</w:t>
            </w:r>
          </w:p>
        </w:tc>
        <w:tc>
          <w:tcPr>
            <w:tcW w:w="58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17</w:t>
            </w:r>
          </w:p>
        </w:tc>
        <w:tc>
          <w:tcPr>
            <w:tcW w:w="100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3,519669</w:t>
            </w:r>
          </w:p>
        </w:tc>
        <w:tc>
          <w:tcPr>
            <w:tcW w:w="11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91,71843</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da pele e do tecido subcutâneo</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w:t>
            </w:r>
          </w:p>
        </w:tc>
        <w:tc>
          <w:tcPr>
            <w:tcW w:w="121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0</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12</w:t>
            </w:r>
          </w:p>
        </w:tc>
        <w:tc>
          <w:tcPr>
            <w:tcW w:w="58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14</w:t>
            </w:r>
          </w:p>
        </w:tc>
        <w:tc>
          <w:tcPr>
            <w:tcW w:w="100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2,898551</w:t>
            </w:r>
          </w:p>
        </w:tc>
        <w:tc>
          <w:tcPr>
            <w:tcW w:w="11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94,61698</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aparelho circulatório</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w:t>
            </w:r>
          </w:p>
        </w:tc>
        <w:tc>
          <w:tcPr>
            <w:tcW w:w="121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0</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7</w:t>
            </w:r>
          </w:p>
        </w:tc>
        <w:tc>
          <w:tcPr>
            <w:tcW w:w="58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10</w:t>
            </w:r>
          </w:p>
        </w:tc>
        <w:tc>
          <w:tcPr>
            <w:tcW w:w="100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2,070393</w:t>
            </w:r>
          </w:p>
        </w:tc>
        <w:tc>
          <w:tcPr>
            <w:tcW w:w="11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96,68737</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lastRenderedPageBreak/>
              <w:t>Gravidez, parto e puerpério</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0</w:t>
            </w:r>
          </w:p>
        </w:tc>
        <w:tc>
          <w:tcPr>
            <w:tcW w:w="121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0</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8</w:t>
            </w:r>
          </w:p>
        </w:tc>
        <w:tc>
          <w:tcPr>
            <w:tcW w:w="58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8</w:t>
            </w:r>
          </w:p>
        </w:tc>
        <w:tc>
          <w:tcPr>
            <w:tcW w:w="100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1,656315</w:t>
            </w:r>
          </w:p>
        </w:tc>
        <w:tc>
          <w:tcPr>
            <w:tcW w:w="11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98,34369</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Neoplasias [tumores]</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w:t>
            </w:r>
          </w:p>
        </w:tc>
        <w:tc>
          <w:tcPr>
            <w:tcW w:w="121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0</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4</w:t>
            </w:r>
          </w:p>
        </w:tc>
        <w:tc>
          <w:tcPr>
            <w:tcW w:w="58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5</w:t>
            </w:r>
          </w:p>
        </w:tc>
        <w:tc>
          <w:tcPr>
            <w:tcW w:w="100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1,035197</w:t>
            </w:r>
          </w:p>
        </w:tc>
        <w:tc>
          <w:tcPr>
            <w:tcW w:w="11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99,37888</w:t>
            </w:r>
          </w:p>
        </w:tc>
      </w:tr>
      <w:tr w:rsidR="00050CB2" w:rsidRPr="00BE18F7" w:rsidTr="00DE1850">
        <w:trPr>
          <w:trHeight w:val="300"/>
          <w:jc w:val="center"/>
        </w:trPr>
        <w:tc>
          <w:tcPr>
            <w:tcW w:w="3800" w:type="dxa"/>
            <w:tcBorders>
              <w:top w:val="nil"/>
              <w:left w:val="nil"/>
              <w:bottom w:val="nil"/>
              <w:right w:val="nil"/>
            </w:tcBorders>
            <w:shd w:val="clear" w:color="auto" w:fill="auto"/>
            <w:vAlign w:val="center"/>
            <w:hideMark/>
          </w:tcPr>
          <w:p w:rsidR="00050CB2" w:rsidRPr="00BE18F7" w:rsidRDefault="00050CB2" w:rsidP="00654079">
            <w:pPr>
              <w:spacing w:after="0" w:line="240" w:lineRule="auto"/>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Doenças do ouvido e da apófise mastóide</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0</w:t>
            </w:r>
          </w:p>
        </w:tc>
        <w:tc>
          <w:tcPr>
            <w:tcW w:w="121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w:t>
            </w:r>
          </w:p>
        </w:tc>
        <w:tc>
          <w:tcPr>
            <w:tcW w:w="1296"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2</w:t>
            </w:r>
          </w:p>
        </w:tc>
        <w:tc>
          <w:tcPr>
            <w:tcW w:w="58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3</w:t>
            </w:r>
          </w:p>
        </w:tc>
        <w:tc>
          <w:tcPr>
            <w:tcW w:w="100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0,621118</w:t>
            </w:r>
          </w:p>
        </w:tc>
        <w:tc>
          <w:tcPr>
            <w:tcW w:w="1120" w:type="dxa"/>
            <w:tcBorders>
              <w:top w:val="nil"/>
              <w:left w:val="nil"/>
              <w:bottom w:val="nil"/>
              <w:right w:val="nil"/>
            </w:tcBorders>
            <w:shd w:val="clear" w:color="auto" w:fill="auto"/>
            <w:noWrap/>
            <w:vAlign w:val="center"/>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8"/>
                <w:szCs w:val="18"/>
              </w:rPr>
            </w:pPr>
            <w:r w:rsidRPr="00BE18F7">
              <w:rPr>
                <w:rFonts w:ascii="Times New Roman" w:eastAsia="Times New Roman" w:hAnsi="Times New Roman" w:cs="Times New Roman"/>
                <w:color w:val="000000" w:themeColor="text1"/>
                <w:sz w:val="18"/>
                <w:szCs w:val="18"/>
              </w:rPr>
              <w:t>100,00000</w:t>
            </w:r>
          </w:p>
        </w:tc>
      </w:tr>
      <w:tr w:rsidR="00050CB2" w:rsidRPr="00BE18F7" w:rsidTr="00DE1850">
        <w:trPr>
          <w:trHeight w:val="315"/>
          <w:jc w:val="center"/>
        </w:trPr>
        <w:tc>
          <w:tcPr>
            <w:tcW w:w="3800"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Total</w:t>
            </w:r>
          </w:p>
        </w:tc>
        <w:tc>
          <w:tcPr>
            <w:tcW w:w="1296"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96</w:t>
            </w:r>
          </w:p>
        </w:tc>
        <w:tc>
          <w:tcPr>
            <w:tcW w:w="1216"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68</w:t>
            </w:r>
          </w:p>
        </w:tc>
        <w:tc>
          <w:tcPr>
            <w:tcW w:w="1296"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319</w:t>
            </w:r>
          </w:p>
        </w:tc>
        <w:tc>
          <w:tcPr>
            <w:tcW w:w="580"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483</w:t>
            </w:r>
          </w:p>
        </w:tc>
        <w:tc>
          <w:tcPr>
            <w:tcW w:w="1000"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 </w:t>
            </w:r>
          </w:p>
        </w:tc>
        <w:tc>
          <w:tcPr>
            <w:tcW w:w="1120" w:type="dxa"/>
            <w:tcBorders>
              <w:top w:val="single" w:sz="4" w:space="0" w:color="auto"/>
              <w:left w:val="nil"/>
              <w:bottom w:val="single" w:sz="8" w:space="0" w:color="auto"/>
              <w:right w:val="nil"/>
            </w:tcBorders>
            <w:shd w:val="clear" w:color="auto" w:fill="auto"/>
            <w:noWrap/>
            <w:vAlign w:val="center"/>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rPr>
            </w:pPr>
            <w:r w:rsidRPr="00BE18F7">
              <w:rPr>
                <w:rFonts w:ascii="Times New Roman" w:eastAsia="Times New Roman" w:hAnsi="Times New Roman" w:cs="Times New Roman"/>
                <w:b/>
                <w:bCs/>
                <w:color w:val="000000" w:themeColor="text1"/>
              </w:rPr>
              <w:t> </w:t>
            </w:r>
          </w:p>
        </w:tc>
      </w:tr>
    </w:tbl>
    <w:p w:rsidR="00DE1850" w:rsidRPr="00DE1850" w:rsidRDefault="00DE1850" w:rsidP="00DE1850">
      <w:pPr>
        <w:spacing w:after="0" w:line="240" w:lineRule="auto"/>
        <w:ind w:firstLine="567"/>
        <w:jc w:val="both"/>
        <w:rPr>
          <w:rFonts w:ascii="Times New Roman" w:hAnsi="Times New Roman" w:cs="Times New Roman"/>
          <w:color w:val="000000" w:themeColor="text1"/>
          <w:sz w:val="18"/>
          <w:szCs w:val="18"/>
        </w:rPr>
      </w:pPr>
      <w:r w:rsidRPr="00DE1850">
        <w:rPr>
          <w:rFonts w:ascii="Times New Roman" w:hAnsi="Times New Roman" w:cs="Times New Roman"/>
          <w:color w:val="000000" w:themeColor="text1"/>
          <w:sz w:val="18"/>
          <w:szCs w:val="18"/>
        </w:rPr>
        <w:t>Fonte: Saída do software</w:t>
      </w:r>
    </w:p>
    <w:p w:rsidR="00050CB2" w:rsidRPr="00BE18F7" w:rsidRDefault="00050CB2" w:rsidP="00050CB2">
      <w:pPr>
        <w:spacing w:after="0" w:line="240" w:lineRule="auto"/>
        <w:rPr>
          <w:rFonts w:ascii="Times New Roman" w:hAnsi="Times New Roman" w:cs="Times New Roman"/>
          <w:b/>
          <w:color w:val="000000" w:themeColor="text1"/>
          <w:sz w:val="24"/>
          <w:szCs w:val="24"/>
        </w:rPr>
      </w:pPr>
    </w:p>
    <w:p w:rsidR="00050CB2" w:rsidRPr="00BE18F7" w:rsidRDefault="00050CB2" w:rsidP="00050CB2">
      <w:pPr>
        <w:spacing w:after="0" w:line="240" w:lineRule="auto"/>
        <w:ind w:firstLine="567"/>
        <w:jc w:val="both"/>
        <w:rPr>
          <w:rFonts w:ascii="Times New Roman" w:hAnsi="Times New Roman" w:cs="Times New Roman"/>
          <w:color w:val="000000" w:themeColor="text1"/>
          <w:sz w:val="24"/>
          <w:szCs w:val="24"/>
        </w:rPr>
      </w:pP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Considerando ainda esses profissionais e analisando a faixa etária predominante nos casos de afastamento</w:t>
      </w:r>
      <w:r w:rsidR="004731AC">
        <w:rPr>
          <w:rFonts w:ascii="Times New Roman" w:hAnsi="Times New Roman" w:cs="Times New Roman"/>
          <w:color w:val="000000" w:themeColor="text1"/>
          <w:sz w:val="24"/>
          <w:szCs w:val="24"/>
        </w:rPr>
        <w:t xml:space="preserve"> (Tabela </w:t>
      </w:r>
      <w:r w:rsidR="00EF26A3">
        <w:rPr>
          <w:rFonts w:ascii="Times New Roman" w:hAnsi="Times New Roman" w:cs="Times New Roman"/>
          <w:color w:val="000000" w:themeColor="text1"/>
          <w:sz w:val="24"/>
          <w:szCs w:val="24"/>
        </w:rPr>
        <w:t>7</w:t>
      </w:r>
      <w:r w:rsidR="004731AC">
        <w:rPr>
          <w:rFonts w:ascii="Times New Roman" w:hAnsi="Times New Roman" w:cs="Times New Roman"/>
          <w:color w:val="000000" w:themeColor="text1"/>
          <w:sz w:val="24"/>
          <w:szCs w:val="24"/>
        </w:rPr>
        <w:t>)</w:t>
      </w:r>
      <w:r w:rsidRPr="00BE18F7">
        <w:rPr>
          <w:rFonts w:ascii="Times New Roman" w:hAnsi="Times New Roman" w:cs="Times New Roman"/>
          <w:color w:val="000000" w:themeColor="text1"/>
          <w:sz w:val="24"/>
          <w:szCs w:val="24"/>
        </w:rPr>
        <w:t xml:space="preserve">, permanece a predominância da faixa etária entre 42 e 53 anos e em relação ao </w:t>
      </w:r>
      <w:r w:rsidR="004731AC">
        <w:rPr>
          <w:rFonts w:ascii="Times New Roman" w:hAnsi="Times New Roman" w:cs="Times New Roman"/>
          <w:color w:val="000000" w:themeColor="text1"/>
          <w:sz w:val="24"/>
          <w:szCs w:val="24"/>
        </w:rPr>
        <w:t>(</w:t>
      </w:r>
      <w:r w:rsidR="00EF26A3">
        <w:rPr>
          <w:rFonts w:ascii="Times New Roman" w:hAnsi="Times New Roman" w:cs="Times New Roman"/>
          <w:color w:val="000000" w:themeColor="text1"/>
          <w:sz w:val="24"/>
          <w:szCs w:val="24"/>
        </w:rPr>
        <w:t>Tabela 8</w:t>
      </w:r>
      <w:r w:rsidR="004731AC">
        <w:rPr>
          <w:rFonts w:ascii="Times New Roman" w:hAnsi="Times New Roman" w:cs="Times New Roman"/>
          <w:color w:val="000000" w:themeColor="text1"/>
          <w:sz w:val="24"/>
          <w:szCs w:val="24"/>
        </w:rPr>
        <w:t xml:space="preserve">) </w:t>
      </w:r>
      <w:r w:rsidRPr="00BE18F7">
        <w:rPr>
          <w:rFonts w:ascii="Times New Roman" w:hAnsi="Times New Roman" w:cs="Times New Roman"/>
          <w:color w:val="000000" w:themeColor="text1"/>
          <w:sz w:val="24"/>
          <w:szCs w:val="24"/>
        </w:rPr>
        <w:t>, ao analisar em separado os profissionais de enfermagem, a predominância do sexo feminino acentuou-se (87%).</w:t>
      </w:r>
    </w:p>
    <w:p w:rsidR="00050CB2" w:rsidRPr="00BE18F7" w:rsidRDefault="00050CB2" w:rsidP="00050CB2">
      <w:pPr>
        <w:pStyle w:val="Legenda"/>
        <w:keepNext/>
        <w:rPr>
          <w:rFonts w:ascii="Times New Roman" w:hAnsi="Times New Roman" w:cs="Times New Roman"/>
          <w:color w:val="000000" w:themeColor="text1"/>
          <w:sz w:val="16"/>
          <w:szCs w:val="16"/>
        </w:rPr>
      </w:pPr>
      <w:r w:rsidRPr="00BE18F7">
        <w:rPr>
          <w:rFonts w:ascii="Times New Roman" w:hAnsi="Times New Roman" w:cs="Times New Roman"/>
          <w:color w:val="000000" w:themeColor="text1"/>
          <w:sz w:val="16"/>
          <w:szCs w:val="16"/>
        </w:rPr>
        <w:t xml:space="preserve">Tabela </w:t>
      </w:r>
      <w:r w:rsidR="00EF26A3">
        <w:rPr>
          <w:rFonts w:ascii="Times New Roman" w:hAnsi="Times New Roman" w:cs="Times New Roman"/>
          <w:color w:val="000000" w:themeColor="text1"/>
          <w:sz w:val="16"/>
          <w:szCs w:val="16"/>
        </w:rPr>
        <w:t>7</w:t>
      </w:r>
      <w:r w:rsidRPr="00BE18F7">
        <w:rPr>
          <w:rFonts w:ascii="Times New Roman" w:hAnsi="Times New Roman" w:cs="Times New Roman"/>
          <w:color w:val="000000" w:themeColor="text1"/>
          <w:sz w:val="16"/>
          <w:szCs w:val="16"/>
        </w:rPr>
        <w:t>: Análise Profissionais de Enfermagem x Faixa Etária</w:t>
      </w:r>
    </w:p>
    <w:tbl>
      <w:tblPr>
        <w:tblW w:w="8476" w:type="dxa"/>
        <w:tblInd w:w="55" w:type="dxa"/>
        <w:tblCellMar>
          <w:left w:w="70" w:type="dxa"/>
          <w:right w:w="70" w:type="dxa"/>
        </w:tblCellMar>
        <w:tblLook w:val="04A0" w:firstRow="1" w:lastRow="0" w:firstColumn="1" w:lastColumn="0" w:noHBand="0" w:noVBand="1"/>
      </w:tblPr>
      <w:tblGrid>
        <w:gridCol w:w="1620"/>
        <w:gridCol w:w="1367"/>
        <w:gridCol w:w="1243"/>
        <w:gridCol w:w="1380"/>
        <w:gridCol w:w="580"/>
        <w:gridCol w:w="1199"/>
        <w:gridCol w:w="1087"/>
      </w:tblGrid>
      <w:tr w:rsidR="00050CB2" w:rsidRPr="00BE18F7" w:rsidTr="00654079">
        <w:trPr>
          <w:trHeight w:val="525"/>
        </w:trPr>
        <w:tc>
          <w:tcPr>
            <w:tcW w:w="1620" w:type="dxa"/>
            <w:tcBorders>
              <w:top w:val="single" w:sz="8" w:space="0" w:color="auto"/>
              <w:left w:val="nil"/>
              <w:bottom w:val="single" w:sz="4" w:space="0" w:color="auto"/>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Tabela Cruzada</w:t>
            </w:r>
          </w:p>
        </w:tc>
        <w:tc>
          <w:tcPr>
            <w:tcW w:w="1367"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AUXILIAR DE ENFERMAGEM</w:t>
            </w:r>
          </w:p>
        </w:tc>
        <w:tc>
          <w:tcPr>
            <w:tcW w:w="1243"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ENFERMEIRO</w:t>
            </w:r>
          </w:p>
        </w:tc>
        <w:tc>
          <w:tcPr>
            <w:tcW w:w="1380"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TEC. EM ENFERMAGEM</w:t>
            </w:r>
          </w:p>
        </w:tc>
        <w:tc>
          <w:tcPr>
            <w:tcW w:w="580"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Total</w:t>
            </w:r>
          </w:p>
        </w:tc>
        <w:tc>
          <w:tcPr>
            <w:tcW w:w="1199"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Freq. Perc.</w:t>
            </w:r>
          </w:p>
        </w:tc>
        <w:tc>
          <w:tcPr>
            <w:tcW w:w="1087"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Freq. Acum.</w:t>
            </w:r>
          </w:p>
        </w:tc>
      </w:tr>
      <w:tr w:rsidR="00050CB2" w:rsidRPr="00BE18F7" w:rsidTr="00654079">
        <w:trPr>
          <w:trHeight w:val="300"/>
        </w:trPr>
        <w:tc>
          <w:tcPr>
            <w:tcW w:w="162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42 - 53</w:t>
            </w:r>
          </w:p>
        </w:tc>
        <w:tc>
          <w:tcPr>
            <w:tcW w:w="1367"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53</w:t>
            </w:r>
          </w:p>
        </w:tc>
        <w:tc>
          <w:tcPr>
            <w:tcW w:w="1243"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27</w:t>
            </w:r>
          </w:p>
        </w:tc>
        <w:tc>
          <w:tcPr>
            <w:tcW w:w="138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151</w:t>
            </w:r>
          </w:p>
        </w:tc>
        <w:tc>
          <w:tcPr>
            <w:tcW w:w="58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231</w:t>
            </w:r>
          </w:p>
        </w:tc>
        <w:tc>
          <w:tcPr>
            <w:tcW w:w="1199"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47,826087</w:t>
            </w:r>
          </w:p>
        </w:tc>
        <w:tc>
          <w:tcPr>
            <w:tcW w:w="1087"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47,826087</w:t>
            </w:r>
          </w:p>
        </w:tc>
      </w:tr>
      <w:tr w:rsidR="00050CB2" w:rsidRPr="00BE18F7" w:rsidTr="00654079">
        <w:trPr>
          <w:trHeight w:val="300"/>
        </w:trPr>
        <w:tc>
          <w:tcPr>
            <w:tcW w:w="162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30 - 41</w:t>
            </w:r>
          </w:p>
        </w:tc>
        <w:tc>
          <w:tcPr>
            <w:tcW w:w="1367"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16</w:t>
            </w:r>
          </w:p>
        </w:tc>
        <w:tc>
          <w:tcPr>
            <w:tcW w:w="1243"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26</w:t>
            </w:r>
          </w:p>
        </w:tc>
        <w:tc>
          <w:tcPr>
            <w:tcW w:w="138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106</w:t>
            </w:r>
          </w:p>
        </w:tc>
        <w:tc>
          <w:tcPr>
            <w:tcW w:w="58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148</w:t>
            </w:r>
          </w:p>
        </w:tc>
        <w:tc>
          <w:tcPr>
            <w:tcW w:w="1199"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30,6418219</w:t>
            </w:r>
          </w:p>
        </w:tc>
        <w:tc>
          <w:tcPr>
            <w:tcW w:w="1087"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78,467909</w:t>
            </w:r>
          </w:p>
        </w:tc>
      </w:tr>
      <w:tr w:rsidR="00050CB2" w:rsidRPr="00BE18F7" w:rsidTr="00654079">
        <w:trPr>
          <w:trHeight w:val="300"/>
        </w:trPr>
        <w:tc>
          <w:tcPr>
            <w:tcW w:w="162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54 - 65</w:t>
            </w:r>
          </w:p>
        </w:tc>
        <w:tc>
          <w:tcPr>
            <w:tcW w:w="1367"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20</w:t>
            </w:r>
          </w:p>
        </w:tc>
        <w:tc>
          <w:tcPr>
            <w:tcW w:w="1243"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11</w:t>
            </w:r>
          </w:p>
        </w:tc>
        <w:tc>
          <w:tcPr>
            <w:tcW w:w="138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52</w:t>
            </w:r>
          </w:p>
        </w:tc>
        <w:tc>
          <w:tcPr>
            <w:tcW w:w="58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83</w:t>
            </w:r>
          </w:p>
        </w:tc>
        <w:tc>
          <w:tcPr>
            <w:tcW w:w="1199"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17,184265</w:t>
            </w:r>
          </w:p>
        </w:tc>
        <w:tc>
          <w:tcPr>
            <w:tcW w:w="1087"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95,652174</w:t>
            </w:r>
          </w:p>
        </w:tc>
      </w:tr>
      <w:tr w:rsidR="00050CB2" w:rsidRPr="00BE18F7" w:rsidTr="00654079">
        <w:trPr>
          <w:trHeight w:val="300"/>
        </w:trPr>
        <w:tc>
          <w:tcPr>
            <w:tcW w:w="162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Não informado</w:t>
            </w:r>
          </w:p>
        </w:tc>
        <w:tc>
          <w:tcPr>
            <w:tcW w:w="1367"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6</w:t>
            </w:r>
          </w:p>
        </w:tc>
        <w:tc>
          <w:tcPr>
            <w:tcW w:w="1243"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0</w:t>
            </w:r>
          </w:p>
        </w:tc>
        <w:tc>
          <w:tcPr>
            <w:tcW w:w="138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4</w:t>
            </w:r>
          </w:p>
        </w:tc>
        <w:tc>
          <w:tcPr>
            <w:tcW w:w="58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10</w:t>
            </w:r>
          </w:p>
        </w:tc>
        <w:tc>
          <w:tcPr>
            <w:tcW w:w="1199"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2,07039337</w:t>
            </w:r>
          </w:p>
        </w:tc>
        <w:tc>
          <w:tcPr>
            <w:tcW w:w="1087"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97,722567</w:t>
            </w:r>
          </w:p>
        </w:tc>
      </w:tr>
      <w:tr w:rsidR="00050CB2" w:rsidRPr="00BE18F7" w:rsidTr="00654079">
        <w:trPr>
          <w:trHeight w:val="300"/>
        </w:trPr>
        <w:tc>
          <w:tcPr>
            <w:tcW w:w="162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18 - 29</w:t>
            </w:r>
          </w:p>
        </w:tc>
        <w:tc>
          <w:tcPr>
            <w:tcW w:w="1367"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0</w:t>
            </w:r>
          </w:p>
        </w:tc>
        <w:tc>
          <w:tcPr>
            <w:tcW w:w="1243"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4</w:t>
            </w:r>
          </w:p>
        </w:tc>
        <w:tc>
          <w:tcPr>
            <w:tcW w:w="138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4</w:t>
            </w:r>
          </w:p>
        </w:tc>
        <w:tc>
          <w:tcPr>
            <w:tcW w:w="58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8</w:t>
            </w:r>
          </w:p>
        </w:tc>
        <w:tc>
          <w:tcPr>
            <w:tcW w:w="1199"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1,6563147</w:t>
            </w:r>
          </w:p>
        </w:tc>
        <w:tc>
          <w:tcPr>
            <w:tcW w:w="1087"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99,378882</w:t>
            </w:r>
          </w:p>
        </w:tc>
      </w:tr>
      <w:tr w:rsidR="00050CB2" w:rsidRPr="00BE18F7" w:rsidTr="00654079">
        <w:trPr>
          <w:trHeight w:val="300"/>
        </w:trPr>
        <w:tc>
          <w:tcPr>
            <w:tcW w:w="162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 xml:space="preserve">Acima de 65 </w:t>
            </w:r>
          </w:p>
        </w:tc>
        <w:tc>
          <w:tcPr>
            <w:tcW w:w="1367"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w:t>
            </w:r>
          </w:p>
        </w:tc>
        <w:tc>
          <w:tcPr>
            <w:tcW w:w="1243"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0</w:t>
            </w:r>
          </w:p>
        </w:tc>
        <w:tc>
          <w:tcPr>
            <w:tcW w:w="138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2</w:t>
            </w:r>
          </w:p>
        </w:tc>
        <w:tc>
          <w:tcPr>
            <w:tcW w:w="58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3</w:t>
            </w:r>
          </w:p>
        </w:tc>
        <w:tc>
          <w:tcPr>
            <w:tcW w:w="1199"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0,62111801</w:t>
            </w:r>
          </w:p>
        </w:tc>
        <w:tc>
          <w:tcPr>
            <w:tcW w:w="1087"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100</w:t>
            </w:r>
          </w:p>
        </w:tc>
      </w:tr>
      <w:tr w:rsidR="00050CB2" w:rsidRPr="00BE18F7" w:rsidTr="00654079">
        <w:trPr>
          <w:trHeight w:val="315"/>
        </w:trPr>
        <w:tc>
          <w:tcPr>
            <w:tcW w:w="1620"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Total</w:t>
            </w:r>
          </w:p>
        </w:tc>
        <w:tc>
          <w:tcPr>
            <w:tcW w:w="1367"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96</w:t>
            </w:r>
          </w:p>
        </w:tc>
        <w:tc>
          <w:tcPr>
            <w:tcW w:w="1243"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68</w:t>
            </w:r>
          </w:p>
        </w:tc>
        <w:tc>
          <w:tcPr>
            <w:tcW w:w="1380"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319</w:t>
            </w:r>
          </w:p>
        </w:tc>
        <w:tc>
          <w:tcPr>
            <w:tcW w:w="580"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483</w:t>
            </w:r>
          </w:p>
        </w:tc>
        <w:tc>
          <w:tcPr>
            <w:tcW w:w="1199"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 </w:t>
            </w:r>
          </w:p>
        </w:tc>
        <w:tc>
          <w:tcPr>
            <w:tcW w:w="1087"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 </w:t>
            </w:r>
          </w:p>
        </w:tc>
      </w:tr>
    </w:tbl>
    <w:p w:rsidR="00DE1850" w:rsidRPr="00DE1850" w:rsidRDefault="00DE1850" w:rsidP="00DE1850">
      <w:pPr>
        <w:spacing w:after="0" w:line="240" w:lineRule="auto"/>
        <w:ind w:firstLine="567"/>
        <w:jc w:val="both"/>
        <w:rPr>
          <w:rFonts w:ascii="Times New Roman" w:hAnsi="Times New Roman" w:cs="Times New Roman"/>
          <w:color w:val="000000" w:themeColor="text1"/>
          <w:sz w:val="18"/>
          <w:szCs w:val="18"/>
        </w:rPr>
      </w:pPr>
      <w:r w:rsidRPr="00DE1850">
        <w:rPr>
          <w:rFonts w:ascii="Times New Roman" w:hAnsi="Times New Roman" w:cs="Times New Roman"/>
          <w:color w:val="000000" w:themeColor="text1"/>
          <w:sz w:val="18"/>
          <w:szCs w:val="18"/>
        </w:rPr>
        <w:t>Fonte: Saída do software</w:t>
      </w:r>
    </w:p>
    <w:p w:rsidR="00050CB2" w:rsidRPr="00BE18F7" w:rsidRDefault="00050CB2" w:rsidP="00050CB2">
      <w:pPr>
        <w:spacing w:after="0" w:line="240" w:lineRule="auto"/>
        <w:ind w:firstLine="567"/>
        <w:jc w:val="both"/>
        <w:rPr>
          <w:rFonts w:ascii="Times New Roman" w:hAnsi="Times New Roman" w:cs="Times New Roman"/>
          <w:color w:val="000000" w:themeColor="text1"/>
          <w:sz w:val="16"/>
          <w:szCs w:val="16"/>
        </w:rPr>
      </w:pPr>
    </w:p>
    <w:p w:rsidR="00050CB2" w:rsidRDefault="00050CB2" w:rsidP="00050CB2">
      <w:pPr>
        <w:pStyle w:val="Legenda"/>
        <w:keepNext/>
        <w:rPr>
          <w:rFonts w:ascii="Times New Roman" w:hAnsi="Times New Roman" w:cs="Times New Roman"/>
          <w:color w:val="000000" w:themeColor="text1"/>
          <w:sz w:val="16"/>
          <w:szCs w:val="16"/>
        </w:rPr>
      </w:pPr>
    </w:p>
    <w:p w:rsidR="00050CB2" w:rsidRPr="00BE18F7" w:rsidRDefault="00050CB2" w:rsidP="00050CB2">
      <w:pPr>
        <w:pStyle w:val="Legenda"/>
        <w:keepNext/>
        <w:rPr>
          <w:rFonts w:ascii="Times New Roman" w:hAnsi="Times New Roman" w:cs="Times New Roman"/>
          <w:color w:val="000000" w:themeColor="text1"/>
          <w:sz w:val="16"/>
          <w:szCs w:val="16"/>
        </w:rPr>
      </w:pPr>
      <w:r w:rsidRPr="00BE18F7">
        <w:rPr>
          <w:rFonts w:ascii="Times New Roman" w:hAnsi="Times New Roman" w:cs="Times New Roman"/>
          <w:color w:val="000000" w:themeColor="text1"/>
          <w:sz w:val="16"/>
          <w:szCs w:val="16"/>
        </w:rPr>
        <w:t xml:space="preserve">Tabela </w:t>
      </w:r>
      <w:r w:rsidR="00EF26A3">
        <w:rPr>
          <w:rFonts w:ascii="Times New Roman" w:hAnsi="Times New Roman" w:cs="Times New Roman"/>
          <w:color w:val="000000" w:themeColor="text1"/>
          <w:sz w:val="16"/>
          <w:szCs w:val="16"/>
        </w:rPr>
        <w:t>8</w:t>
      </w:r>
      <w:r w:rsidRPr="00BE18F7">
        <w:rPr>
          <w:rFonts w:ascii="Times New Roman" w:hAnsi="Times New Roman" w:cs="Times New Roman"/>
          <w:color w:val="000000" w:themeColor="text1"/>
          <w:sz w:val="16"/>
          <w:szCs w:val="16"/>
        </w:rPr>
        <w:t>: Análise Profissionais de Enfermagem x Gênero</w:t>
      </w:r>
    </w:p>
    <w:tbl>
      <w:tblPr>
        <w:tblW w:w="8795" w:type="dxa"/>
        <w:tblInd w:w="53" w:type="dxa"/>
        <w:tblCellMar>
          <w:left w:w="70" w:type="dxa"/>
          <w:right w:w="70" w:type="dxa"/>
        </w:tblCellMar>
        <w:tblLook w:val="04A0" w:firstRow="1" w:lastRow="0" w:firstColumn="1" w:lastColumn="0" w:noHBand="0" w:noVBand="1"/>
      </w:tblPr>
      <w:tblGrid>
        <w:gridCol w:w="2000"/>
        <w:gridCol w:w="1380"/>
        <w:gridCol w:w="1260"/>
        <w:gridCol w:w="1400"/>
        <w:gridCol w:w="580"/>
        <w:gridCol w:w="976"/>
        <w:gridCol w:w="1199"/>
      </w:tblGrid>
      <w:tr w:rsidR="00050CB2" w:rsidRPr="00BE18F7" w:rsidTr="00654079">
        <w:trPr>
          <w:trHeight w:val="525"/>
        </w:trPr>
        <w:tc>
          <w:tcPr>
            <w:tcW w:w="2000" w:type="dxa"/>
            <w:tcBorders>
              <w:top w:val="single" w:sz="8" w:space="0" w:color="auto"/>
              <w:left w:val="nil"/>
              <w:bottom w:val="single" w:sz="4" w:space="0" w:color="auto"/>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Tabela Cruzada</w:t>
            </w:r>
          </w:p>
        </w:tc>
        <w:tc>
          <w:tcPr>
            <w:tcW w:w="1380"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AUXILIAR DE ENFERMAGEM</w:t>
            </w:r>
          </w:p>
        </w:tc>
        <w:tc>
          <w:tcPr>
            <w:tcW w:w="1260"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ENFERMEIRO</w:t>
            </w:r>
          </w:p>
        </w:tc>
        <w:tc>
          <w:tcPr>
            <w:tcW w:w="1400"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TEC. EM ENFERMAGEM</w:t>
            </w:r>
          </w:p>
        </w:tc>
        <w:tc>
          <w:tcPr>
            <w:tcW w:w="580"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Total</w:t>
            </w:r>
          </w:p>
        </w:tc>
        <w:tc>
          <w:tcPr>
            <w:tcW w:w="976"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Freq. Perc.</w:t>
            </w:r>
          </w:p>
        </w:tc>
        <w:tc>
          <w:tcPr>
            <w:tcW w:w="1199" w:type="dxa"/>
            <w:tcBorders>
              <w:top w:val="single" w:sz="8" w:space="0" w:color="auto"/>
              <w:left w:val="nil"/>
              <w:bottom w:val="single" w:sz="4" w:space="0" w:color="auto"/>
              <w:right w:val="nil"/>
            </w:tcBorders>
            <w:shd w:val="clear" w:color="auto" w:fill="auto"/>
            <w:vAlign w:val="bottom"/>
            <w:hideMark/>
          </w:tcPr>
          <w:p w:rsidR="00050CB2" w:rsidRPr="00BE18F7" w:rsidRDefault="00050CB2" w:rsidP="00654079">
            <w:pPr>
              <w:spacing w:after="0" w:line="240" w:lineRule="auto"/>
              <w:jc w:val="center"/>
              <w:rPr>
                <w:rFonts w:ascii="Times New Roman" w:eastAsia="Times New Roman" w:hAnsi="Times New Roman" w:cs="Times New Roman"/>
                <w:b/>
                <w:bCs/>
                <w:i/>
                <w:iCs/>
                <w:color w:val="000000" w:themeColor="text1"/>
                <w:sz w:val="16"/>
                <w:szCs w:val="16"/>
              </w:rPr>
            </w:pPr>
            <w:r w:rsidRPr="00BE18F7">
              <w:rPr>
                <w:rFonts w:ascii="Times New Roman" w:eastAsia="Times New Roman" w:hAnsi="Times New Roman" w:cs="Times New Roman"/>
                <w:b/>
                <w:bCs/>
                <w:i/>
                <w:iCs/>
                <w:color w:val="000000" w:themeColor="text1"/>
                <w:sz w:val="16"/>
                <w:szCs w:val="16"/>
              </w:rPr>
              <w:t>Freq. Acum.</w:t>
            </w:r>
          </w:p>
        </w:tc>
      </w:tr>
      <w:tr w:rsidR="00050CB2" w:rsidRPr="00BE18F7" w:rsidTr="00654079">
        <w:trPr>
          <w:trHeight w:val="300"/>
        </w:trPr>
        <w:tc>
          <w:tcPr>
            <w:tcW w:w="200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Feminino</w:t>
            </w:r>
          </w:p>
        </w:tc>
        <w:tc>
          <w:tcPr>
            <w:tcW w:w="138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78</w:t>
            </w:r>
          </w:p>
        </w:tc>
        <w:tc>
          <w:tcPr>
            <w:tcW w:w="126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59</w:t>
            </w:r>
          </w:p>
        </w:tc>
        <w:tc>
          <w:tcPr>
            <w:tcW w:w="140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287</w:t>
            </w:r>
          </w:p>
        </w:tc>
        <w:tc>
          <w:tcPr>
            <w:tcW w:w="58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424</w:t>
            </w:r>
          </w:p>
        </w:tc>
        <w:tc>
          <w:tcPr>
            <w:tcW w:w="976"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87,78468</w:t>
            </w:r>
          </w:p>
        </w:tc>
        <w:tc>
          <w:tcPr>
            <w:tcW w:w="1199"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87,7846791</w:t>
            </w:r>
          </w:p>
        </w:tc>
      </w:tr>
      <w:tr w:rsidR="00050CB2" w:rsidRPr="00BE18F7" w:rsidTr="00654079">
        <w:trPr>
          <w:trHeight w:val="300"/>
        </w:trPr>
        <w:tc>
          <w:tcPr>
            <w:tcW w:w="200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Masculino</w:t>
            </w:r>
          </w:p>
        </w:tc>
        <w:tc>
          <w:tcPr>
            <w:tcW w:w="138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18</w:t>
            </w:r>
          </w:p>
        </w:tc>
        <w:tc>
          <w:tcPr>
            <w:tcW w:w="126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9</w:t>
            </w:r>
          </w:p>
        </w:tc>
        <w:tc>
          <w:tcPr>
            <w:tcW w:w="140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32</w:t>
            </w:r>
          </w:p>
        </w:tc>
        <w:tc>
          <w:tcPr>
            <w:tcW w:w="580"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59</w:t>
            </w:r>
          </w:p>
        </w:tc>
        <w:tc>
          <w:tcPr>
            <w:tcW w:w="976"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12,21532</w:t>
            </w:r>
          </w:p>
        </w:tc>
        <w:tc>
          <w:tcPr>
            <w:tcW w:w="1199" w:type="dxa"/>
            <w:tcBorders>
              <w:top w:val="nil"/>
              <w:left w:val="nil"/>
              <w:bottom w:val="nil"/>
              <w:right w:val="nil"/>
            </w:tcBorders>
            <w:shd w:val="clear" w:color="auto" w:fill="auto"/>
            <w:noWrap/>
            <w:vAlign w:val="bottom"/>
            <w:hideMark/>
          </w:tcPr>
          <w:p w:rsidR="00050CB2" w:rsidRPr="00BE18F7" w:rsidRDefault="00050CB2" w:rsidP="00654079">
            <w:pPr>
              <w:spacing w:after="0" w:line="240" w:lineRule="auto"/>
              <w:jc w:val="right"/>
              <w:rPr>
                <w:rFonts w:ascii="Times New Roman" w:eastAsia="Times New Roman" w:hAnsi="Times New Roman" w:cs="Times New Roman"/>
                <w:color w:val="000000" w:themeColor="text1"/>
                <w:sz w:val="16"/>
                <w:szCs w:val="16"/>
              </w:rPr>
            </w:pPr>
            <w:r w:rsidRPr="00BE18F7">
              <w:rPr>
                <w:rFonts w:ascii="Times New Roman" w:eastAsia="Times New Roman" w:hAnsi="Times New Roman" w:cs="Times New Roman"/>
                <w:color w:val="000000" w:themeColor="text1"/>
                <w:sz w:val="16"/>
                <w:szCs w:val="16"/>
              </w:rPr>
              <w:t>100</w:t>
            </w:r>
          </w:p>
        </w:tc>
      </w:tr>
      <w:tr w:rsidR="00050CB2" w:rsidRPr="00BE18F7" w:rsidTr="00654079">
        <w:trPr>
          <w:trHeight w:val="315"/>
        </w:trPr>
        <w:tc>
          <w:tcPr>
            <w:tcW w:w="2000"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Total</w:t>
            </w:r>
          </w:p>
        </w:tc>
        <w:tc>
          <w:tcPr>
            <w:tcW w:w="1380"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96</w:t>
            </w:r>
          </w:p>
        </w:tc>
        <w:tc>
          <w:tcPr>
            <w:tcW w:w="1260"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68</w:t>
            </w:r>
          </w:p>
        </w:tc>
        <w:tc>
          <w:tcPr>
            <w:tcW w:w="1400"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319</w:t>
            </w:r>
          </w:p>
        </w:tc>
        <w:tc>
          <w:tcPr>
            <w:tcW w:w="580"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483</w:t>
            </w:r>
          </w:p>
        </w:tc>
        <w:tc>
          <w:tcPr>
            <w:tcW w:w="976"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 </w:t>
            </w:r>
          </w:p>
        </w:tc>
        <w:tc>
          <w:tcPr>
            <w:tcW w:w="1199" w:type="dxa"/>
            <w:tcBorders>
              <w:top w:val="single" w:sz="4" w:space="0" w:color="auto"/>
              <w:left w:val="nil"/>
              <w:bottom w:val="single" w:sz="8" w:space="0" w:color="auto"/>
              <w:right w:val="nil"/>
            </w:tcBorders>
            <w:shd w:val="clear" w:color="auto" w:fill="auto"/>
            <w:noWrap/>
            <w:vAlign w:val="bottom"/>
            <w:hideMark/>
          </w:tcPr>
          <w:p w:rsidR="00050CB2" w:rsidRPr="00BE18F7" w:rsidRDefault="00050CB2" w:rsidP="00654079">
            <w:pPr>
              <w:spacing w:after="0" w:line="240" w:lineRule="auto"/>
              <w:jc w:val="center"/>
              <w:rPr>
                <w:rFonts w:ascii="Times New Roman" w:eastAsia="Times New Roman" w:hAnsi="Times New Roman" w:cs="Times New Roman"/>
                <w:b/>
                <w:bCs/>
                <w:color w:val="000000" w:themeColor="text1"/>
                <w:sz w:val="16"/>
                <w:szCs w:val="16"/>
              </w:rPr>
            </w:pPr>
            <w:r w:rsidRPr="00BE18F7">
              <w:rPr>
                <w:rFonts w:ascii="Times New Roman" w:eastAsia="Times New Roman" w:hAnsi="Times New Roman" w:cs="Times New Roman"/>
                <w:b/>
                <w:bCs/>
                <w:color w:val="000000" w:themeColor="text1"/>
                <w:sz w:val="16"/>
                <w:szCs w:val="16"/>
              </w:rPr>
              <w:t> </w:t>
            </w:r>
          </w:p>
        </w:tc>
      </w:tr>
    </w:tbl>
    <w:p w:rsidR="00DE1850" w:rsidRPr="00DE1850" w:rsidRDefault="00DE1850" w:rsidP="00DE1850">
      <w:pPr>
        <w:spacing w:after="0" w:line="240" w:lineRule="auto"/>
        <w:ind w:firstLine="567"/>
        <w:jc w:val="both"/>
        <w:rPr>
          <w:rFonts w:ascii="Times New Roman" w:hAnsi="Times New Roman" w:cs="Times New Roman"/>
          <w:color w:val="000000" w:themeColor="text1"/>
          <w:sz w:val="18"/>
          <w:szCs w:val="18"/>
        </w:rPr>
      </w:pPr>
      <w:r w:rsidRPr="00DE1850">
        <w:rPr>
          <w:rFonts w:ascii="Times New Roman" w:hAnsi="Times New Roman" w:cs="Times New Roman"/>
          <w:color w:val="000000" w:themeColor="text1"/>
          <w:sz w:val="18"/>
          <w:szCs w:val="18"/>
        </w:rPr>
        <w:t>Fonte: Saída do software</w:t>
      </w:r>
    </w:p>
    <w:p w:rsidR="00050CB2" w:rsidRPr="00BE18F7" w:rsidRDefault="00050CB2" w:rsidP="00050CB2">
      <w:pPr>
        <w:spacing w:after="0" w:line="240" w:lineRule="auto"/>
        <w:rPr>
          <w:rFonts w:ascii="Times New Roman" w:hAnsi="Times New Roman" w:cs="Times New Roman"/>
          <w:b/>
          <w:color w:val="000000" w:themeColor="text1"/>
          <w:sz w:val="24"/>
          <w:szCs w:val="24"/>
        </w:rPr>
      </w:pPr>
    </w:p>
    <w:p w:rsidR="00050CB2" w:rsidRPr="00BE18F7" w:rsidRDefault="00050CB2" w:rsidP="00050CB2">
      <w:pPr>
        <w:spacing w:after="0" w:line="240" w:lineRule="auto"/>
        <w:ind w:firstLine="567"/>
        <w:jc w:val="both"/>
        <w:rPr>
          <w:rFonts w:ascii="Times New Roman" w:hAnsi="Times New Roman" w:cs="Times New Roman"/>
          <w:color w:val="000000" w:themeColor="text1"/>
          <w:sz w:val="24"/>
          <w:szCs w:val="24"/>
        </w:rPr>
      </w:pPr>
    </w:p>
    <w:p w:rsidR="00050CB2" w:rsidRPr="00BE18F7" w:rsidRDefault="00050CB2" w:rsidP="00050CB2">
      <w:pPr>
        <w:spacing w:after="0" w:line="240" w:lineRule="auto"/>
        <w:jc w:val="both"/>
        <w:rPr>
          <w:rFonts w:ascii="Times New Roman" w:hAnsi="Times New Roman" w:cs="Times New Roman"/>
          <w:b/>
          <w:color w:val="000000" w:themeColor="text1"/>
          <w:sz w:val="24"/>
          <w:szCs w:val="24"/>
        </w:rPr>
      </w:pPr>
      <w:r w:rsidRPr="00BE18F7">
        <w:rPr>
          <w:rFonts w:ascii="Times New Roman" w:hAnsi="Times New Roman" w:cs="Times New Roman"/>
          <w:b/>
          <w:color w:val="000000" w:themeColor="text1"/>
          <w:sz w:val="24"/>
          <w:szCs w:val="24"/>
        </w:rPr>
        <w:t>5 CONCLUSÃO</w:t>
      </w:r>
    </w:p>
    <w:p w:rsidR="00050CB2" w:rsidRPr="00BE18F7" w:rsidRDefault="00050CB2" w:rsidP="00050CB2">
      <w:pPr>
        <w:spacing w:after="0" w:line="240" w:lineRule="auto"/>
        <w:ind w:firstLine="567"/>
        <w:jc w:val="both"/>
        <w:rPr>
          <w:rFonts w:ascii="Times New Roman" w:hAnsi="Times New Roman" w:cs="Times New Roman"/>
          <w:color w:val="000000" w:themeColor="text1"/>
          <w:sz w:val="24"/>
          <w:szCs w:val="24"/>
        </w:rPr>
      </w:pPr>
    </w:p>
    <w:p w:rsidR="00050CB2" w:rsidRPr="00BE18F7" w:rsidRDefault="00050CB2" w:rsidP="00050CB2">
      <w:pPr>
        <w:spacing w:after="0" w:line="360" w:lineRule="auto"/>
        <w:ind w:firstLine="851"/>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Deste modo, a partir do exposto, verifica-se que o relacionamento com o público interno não pode prevalecer em aspectos de capacitação e motivação em detrimentos dos aspectos de atenção à saúde desse público. A saúde deve ser o aspecto primário, como a base da pirâmide motivacional de Maslow (1970). A Qualidade de Vida no Trabalho inicia-se com a saúde para o trabalho e, como ressaltado por Ferreira (2013), a QVT não deve atuar hegemonicamente d forma </w:t>
      </w:r>
      <w:r w:rsidRPr="00BE18F7">
        <w:rPr>
          <w:rFonts w:ascii="Times New Roman" w:hAnsi="Times New Roman" w:cs="Times New Roman"/>
          <w:color w:val="000000" w:themeColor="text1"/>
          <w:sz w:val="24"/>
          <w:szCs w:val="24"/>
        </w:rPr>
        <w:lastRenderedPageBreak/>
        <w:t>assistencial, mas, utilizar os dados de saúde e de pesquisa para agir de forma preventiva.</w:t>
      </w:r>
    </w:p>
    <w:p w:rsidR="00050CB2" w:rsidRPr="00BE18F7" w:rsidRDefault="00050CB2" w:rsidP="00050CB2">
      <w:pPr>
        <w:spacing w:after="0" w:line="360" w:lineRule="auto"/>
        <w:ind w:firstLine="851"/>
        <w:jc w:val="both"/>
        <w:rPr>
          <w:rFonts w:ascii="Times New Roman" w:hAnsi="Times New Roman" w:cs="Times New Roman"/>
          <w:b/>
          <w:color w:val="000000" w:themeColor="text1"/>
          <w:sz w:val="24"/>
          <w:szCs w:val="24"/>
        </w:rPr>
      </w:pPr>
      <w:r w:rsidRPr="00BE18F7">
        <w:rPr>
          <w:rFonts w:ascii="Times New Roman" w:hAnsi="Times New Roman" w:cs="Times New Roman"/>
          <w:color w:val="000000" w:themeColor="text1"/>
          <w:sz w:val="24"/>
          <w:szCs w:val="24"/>
        </w:rPr>
        <w:t>As limitações desse estudo são diversas, dentre as quais destaca-se a limitação quanto à população estudada. Como sugestão de pesquisas futuras, propõe-se a ampliação do estudo primeiramente em termos de período analisado e em termos de órgão – o volume de atendimentos realizados pelo próprio DAST, como Unidade SIASS, pode proporcionar uma visão mais ampliada e profunda quanto aos servidores da UFMG e de outros órgãos públicos federais atendidos no DAST, considerando as duas unidades (Centro e Pampulha) e outras unidades SIASS. Além disso, inúmeras relações podem ser feitas a partir de diversas correlações entre dados sociodemográficos e de atendimento. Estudos qualitativos podem ser feitos com o objetivo de verificar a atuação de políticas de QVT em atenção à saúde do servidor; estudos também podem ser realizados em termos de custos. Trata-se de um tema bastante amplo e com várias possibilidades de análises.</w:t>
      </w:r>
    </w:p>
    <w:p w:rsidR="00050CB2" w:rsidRPr="00BE18F7" w:rsidRDefault="00050CB2" w:rsidP="00050CB2">
      <w:pPr>
        <w:spacing w:after="0" w:line="240" w:lineRule="auto"/>
        <w:rPr>
          <w:rFonts w:ascii="Times New Roman" w:hAnsi="Times New Roman" w:cs="Times New Roman"/>
          <w:b/>
          <w:color w:val="000000" w:themeColor="text1"/>
          <w:sz w:val="24"/>
          <w:szCs w:val="24"/>
        </w:rPr>
      </w:pPr>
    </w:p>
    <w:p w:rsidR="00050CB2" w:rsidRPr="00BE18F7" w:rsidRDefault="00050CB2" w:rsidP="00050CB2">
      <w:pPr>
        <w:spacing w:after="0" w:line="240" w:lineRule="auto"/>
        <w:rPr>
          <w:rFonts w:ascii="Times New Roman" w:hAnsi="Times New Roman" w:cs="Times New Roman"/>
          <w:b/>
          <w:color w:val="000000" w:themeColor="text1"/>
          <w:sz w:val="24"/>
          <w:szCs w:val="24"/>
        </w:rPr>
      </w:pPr>
      <w:r w:rsidRPr="00BE18F7">
        <w:rPr>
          <w:rFonts w:ascii="Times New Roman" w:hAnsi="Times New Roman" w:cs="Times New Roman"/>
          <w:b/>
          <w:color w:val="000000" w:themeColor="text1"/>
          <w:sz w:val="24"/>
          <w:szCs w:val="24"/>
        </w:rPr>
        <w:t>REFERÊNCIAS</w:t>
      </w:r>
    </w:p>
    <w:p w:rsidR="00050CB2" w:rsidRPr="00BE18F7" w:rsidRDefault="00050CB2" w:rsidP="00050CB2">
      <w:pPr>
        <w:spacing w:after="0" w:line="240" w:lineRule="auto"/>
        <w:rPr>
          <w:rFonts w:ascii="Times New Roman" w:hAnsi="Times New Roman" w:cs="Times New Roman"/>
          <w:color w:val="000000" w:themeColor="text1"/>
          <w:sz w:val="24"/>
          <w:szCs w:val="24"/>
        </w:rPr>
      </w:pPr>
    </w:p>
    <w:p w:rsidR="00050CB2" w:rsidRPr="00BE18F7" w:rsidRDefault="00050CB2" w:rsidP="00050CB2">
      <w:pPr>
        <w:spacing w:after="120" w:line="240" w:lineRule="auto"/>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BRASIL. Secretaria de Gestão Pública do Ministério do Planejamento, Orçamento e Gestão. Portaria normativa nº 3, de 25 de março de 2013.</w:t>
      </w:r>
    </w:p>
    <w:p w:rsidR="00050CB2" w:rsidRPr="00BE18F7" w:rsidRDefault="00050CB2" w:rsidP="00050CB2">
      <w:pPr>
        <w:spacing w:after="120" w:line="240" w:lineRule="auto"/>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FERNANDES, Eda Conte. </w:t>
      </w:r>
      <w:r w:rsidRPr="00BE18F7">
        <w:rPr>
          <w:rFonts w:ascii="Times New Roman" w:hAnsi="Times New Roman" w:cs="Times New Roman"/>
          <w:b/>
          <w:color w:val="000000" w:themeColor="text1"/>
          <w:sz w:val="24"/>
          <w:szCs w:val="24"/>
        </w:rPr>
        <w:t>Qualidade de vida no trabalho</w:t>
      </w:r>
      <w:r w:rsidRPr="00BE18F7">
        <w:rPr>
          <w:rFonts w:ascii="Times New Roman" w:hAnsi="Times New Roman" w:cs="Times New Roman"/>
          <w:color w:val="000000" w:themeColor="text1"/>
          <w:sz w:val="24"/>
          <w:szCs w:val="24"/>
        </w:rPr>
        <w:t>. Salvador: Casa da Qualidade, 1996.</w:t>
      </w:r>
    </w:p>
    <w:p w:rsidR="00050CB2" w:rsidRPr="00BE18F7" w:rsidRDefault="00050CB2" w:rsidP="00050CB2">
      <w:pPr>
        <w:spacing w:after="120" w:line="240" w:lineRule="auto"/>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 xml:space="preserve">FERREIRA, Mário Cesar. </w:t>
      </w:r>
      <w:r w:rsidRPr="00BE18F7">
        <w:rPr>
          <w:rFonts w:ascii="Times New Roman" w:hAnsi="Times New Roman" w:cs="Times New Roman"/>
          <w:b/>
          <w:color w:val="000000" w:themeColor="text1"/>
          <w:sz w:val="24"/>
          <w:szCs w:val="24"/>
        </w:rPr>
        <w:t>Qualidade de vida no trabalho</w:t>
      </w:r>
      <w:r w:rsidRPr="00BE18F7">
        <w:rPr>
          <w:rFonts w:ascii="Times New Roman" w:hAnsi="Times New Roman" w:cs="Times New Roman"/>
          <w:color w:val="000000" w:themeColor="text1"/>
          <w:sz w:val="24"/>
          <w:szCs w:val="24"/>
        </w:rPr>
        <w:t>: uma abordagem centrada no olhar dos trabalhadores. 2. ed., Brasília: Paralelo 15, 2012.</w:t>
      </w:r>
    </w:p>
    <w:p w:rsidR="00050CB2" w:rsidRPr="00BE18F7" w:rsidRDefault="00050CB2" w:rsidP="00050CB2">
      <w:pPr>
        <w:spacing w:after="120" w:line="240" w:lineRule="auto"/>
        <w:jc w:val="both"/>
        <w:rPr>
          <w:rFonts w:ascii="Times New Roman" w:hAnsi="Times New Roman" w:cs="Times New Roman"/>
          <w:color w:val="000000" w:themeColor="text1"/>
          <w:sz w:val="24"/>
          <w:szCs w:val="24"/>
        </w:rPr>
      </w:pPr>
      <w:r w:rsidRPr="00BE18F7">
        <w:rPr>
          <w:rFonts w:ascii="Times New Roman" w:hAnsi="Times New Roman" w:cs="Times New Roman"/>
          <w:color w:val="000000" w:themeColor="text1"/>
          <w:sz w:val="24"/>
          <w:szCs w:val="24"/>
        </w:rPr>
        <w:t>FERREIRA, M. C.; L. Alves &amp; N. Tostes. Gestão da qualidade de vida no trabalho (QVT) no serviço público federal:</w:t>
      </w:r>
      <w:r w:rsidRPr="00BE18F7">
        <w:rPr>
          <w:rFonts w:ascii="Times New Roman" w:hAnsi="Times New Roman" w:cs="Times New Roman"/>
          <w:b/>
          <w:color w:val="000000" w:themeColor="text1"/>
          <w:sz w:val="24"/>
          <w:szCs w:val="24"/>
        </w:rPr>
        <w:t xml:space="preserve"> </w:t>
      </w:r>
      <w:r w:rsidRPr="00BE18F7">
        <w:rPr>
          <w:rFonts w:ascii="Times New Roman" w:hAnsi="Times New Roman" w:cs="Times New Roman"/>
          <w:color w:val="000000" w:themeColor="text1"/>
          <w:sz w:val="24"/>
          <w:szCs w:val="24"/>
        </w:rPr>
        <w:t xml:space="preserve">O descompasso entre problemas e práticas gerenciais. </w:t>
      </w:r>
      <w:r w:rsidRPr="00BE18F7">
        <w:rPr>
          <w:rFonts w:ascii="Times New Roman" w:hAnsi="Times New Roman" w:cs="Times New Roman"/>
          <w:b/>
          <w:color w:val="000000" w:themeColor="text1"/>
          <w:sz w:val="24"/>
          <w:szCs w:val="24"/>
        </w:rPr>
        <w:t>Psicologia: Teoria e Pesquisa</w:t>
      </w:r>
      <w:r w:rsidRPr="00BE18F7">
        <w:rPr>
          <w:rFonts w:ascii="Times New Roman" w:hAnsi="Times New Roman" w:cs="Times New Roman"/>
          <w:color w:val="000000" w:themeColor="text1"/>
          <w:sz w:val="24"/>
          <w:szCs w:val="24"/>
        </w:rPr>
        <w:t>, Vol. 25, n. 3, Brasília, 2009, pp. 319-327</w:t>
      </w:r>
    </w:p>
    <w:p w:rsidR="00050CB2" w:rsidRPr="00BE18F7" w:rsidRDefault="00050CB2" w:rsidP="00050CB2">
      <w:pPr>
        <w:spacing w:after="120" w:line="240" w:lineRule="auto"/>
        <w:jc w:val="both"/>
        <w:rPr>
          <w:rFonts w:ascii="Times New Roman" w:hAnsi="Times New Roman" w:cs="Times New Roman"/>
          <w:color w:val="000000" w:themeColor="text1"/>
          <w:sz w:val="24"/>
          <w:szCs w:val="24"/>
          <w:lang w:val="en-US"/>
        </w:rPr>
      </w:pPr>
      <w:r w:rsidRPr="00BE18F7">
        <w:rPr>
          <w:rFonts w:ascii="Times New Roman" w:hAnsi="Times New Roman" w:cs="Times New Roman"/>
          <w:color w:val="000000" w:themeColor="text1"/>
          <w:sz w:val="24"/>
          <w:szCs w:val="24"/>
        </w:rPr>
        <w:t xml:space="preserve">LOVELOCK, Christopher; WIRTZ, Jochen; HEMZO, Miguel Angelo. </w:t>
      </w:r>
      <w:r w:rsidRPr="00BE18F7">
        <w:rPr>
          <w:rFonts w:ascii="Times New Roman" w:hAnsi="Times New Roman" w:cs="Times New Roman"/>
          <w:b/>
          <w:color w:val="000000" w:themeColor="text1"/>
          <w:sz w:val="24"/>
          <w:szCs w:val="24"/>
        </w:rPr>
        <w:t>Marketing de serviços</w:t>
      </w:r>
      <w:r w:rsidRPr="00BE18F7">
        <w:rPr>
          <w:rFonts w:ascii="Times New Roman" w:hAnsi="Times New Roman" w:cs="Times New Roman"/>
          <w:color w:val="000000" w:themeColor="text1"/>
          <w:sz w:val="24"/>
          <w:szCs w:val="24"/>
        </w:rPr>
        <w:t xml:space="preserve">: pessoas, tecnologia e estratégia. </w:t>
      </w:r>
      <w:r w:rsidRPr="00BE18F7">
        <w:rPr>
          <w:rFonts w:ascii="Times New Roman" w:hAnsi="Times New Roman" w:cs="Times New Roman"/>
          <w:color w:val="000000" w:themeColor="text1"/>
          <w:sz w:val="24"/>
          <w:szCs w:val="24"/>
          <w:lang w:val="en-US"/>
        </w:rPr>
        <w:t>7. ed. São Paulo: Pearson Prentice Hall, 2011.</w:t>
      </w:r>
    </w:p>
    <w:p w:rsidR="00050CB2" w:rsidRPr="00BE18F7" w:rsidRDefault="00050CB2" w:rsidP="00050CB2">
      <w:pPr>
        <w:spacing w:after="120" w:line="240" w:lineRule="auto"/>
        <w:jc w:val="both"/>
        <w:rPr>
          <w:rFonts w:ascii="Times New Roman" w:hAnsi="Times New Roman" w:cs="Times New Roman"/>
          <w:color w:val="000000" w:themeColor="text1"/>
          <w:sz w:val="24"/>
          <w:szCs w:val="24"/>
          <w:lang w:val="en-US"/>
        </w:rPr>
      </w:pPr>
      <w:r w:rsidRPr="00BE18F7">
        <w:rPr>
          <w:rFonts w:ascii="Times New Roman" w:hAnsi="Times New Roman" w:cs="Times New Roman"/>
          <w:color w:val="000000" w:themeColor="text1"/>
          <w:sz w:val="24"/>
          <w:szCs w:val="24"/>
          <w:lang w:val="en-US"/>
        </w:rPr>
        <w:t xml:space="preserve">LUSCH, Robert F.; VARGO, Stephen L. </w:t>
      </w:r>
      <w:r w:rsidRPr="00BE18F7">
        <w:rPr>
          <w:rFonts w:ascii="Times New Roman" w:hAnsi="Times New Roman" w:cs="Times New Roman"/>
          <w:b/>
          <w:color w:val="000000" w:themeColor="text1"/>
          <w:sz w:val="24"/>
          <w:szCs w:val="24"/>
          <w:lang w:val="en-US"/>
        </w:rPr>
        <w:t>Service-dominant logic</w:t>
      </w:r>
      <w:r w:rsidRPr="00BE18F7">
        <w:rPr>
          <w:rFonts w:ascii="Times New Roman" w:hAnsi="Times New Roman" w:cs="Times New Roman"/>
          <w:color w:val="000000" w:themeColor="text1"/>
          <w:sz w:val="24"/>
          <w:szCs w:val="24"/>
          <w:lang w:val="en-US"/>
        </w:rPr>
        <w:t>: premisses, perspectives, possibilities. New York: Cambridge University Press, 2014.</w:t>
      </w:r>
    </w:p>
    <w:p w:rsidR="00050CB2" w:rsidRPr="00BE18F7" w:rsidRDefault="00050CB2" w:rsidP="00050CB2">
      <w:pPr>
        <w:spacing w:after="120" w:line="240" w:lineRule="auto"/>
        <w:jc w:val="both"/>
        <w:rPr>
          <w:rFonts w:ascii="Times New Roman" w:hAnsi="Times New Roman" w:cs="Times New Roman"/>
          <w:color w:val="000000" w:themeColor="text1"/>
          <w:sz w:val="24"/>
          <w:szCs w:val="24"/>
          <w:lang w:val="en-US"/>
        </w:rPr>
      </w:pPr>
      <w:r w:rsidRPr="00BE18F7">
        <w:rPr>
          <w:rFonts w:ascii="Times New Roman" w:hAnsi="Times New Roman" w:cs="Times New Roman"/>
          <w:color w:val="000000" w:themeColor="text1"/>
          <w:sz w:val="24"/>
          <w:szCs w:val="24"/>
          <w:lang w:val="en-US"/>
        </w:rPr>
        <w:t xml:space="preserve">MASLOW, A. H. </w:t>
      </w:r>
      <w:r w:rsidRPr="00BE18F7">
        <w:rPr>
          <w:rFonts w:ascii="Times New Roman" w:hAnsi="Times New Roman" w:cs="Times New Roman"/>
          <w:b/>
          <w:color w:val="000000" w:themeColor="text1"/>
          <w:sz w:val="24"/>
          <w:szCs w:val="24"/>
          <w:lang w:val="en-US"/>
        </w:rPr>
        <w:t>Motivation and personality</w:t>
      </w:r>
      <w:r w:rsidRPr="00BE18F7">
        <w:rPr>
          <w:rFonts w:ascii="Times New Roman" w:hAnsi="Times New Roman" w:cs="Times New Roman"/>
          <w:color w:val="000000" w:themeColor="text1"/>
          <w:sz w:val="24"/>
          <w:szCs w:val="24"/>
          <w:lang w:val="en-US"/>
        </w:rPr>
        <w:t>. 2 ed. New York: Harper &amp; Brothers, 1970.</w:t>
      </w:r>
    </w:p>
    <w:p w:rsidR="00050CB2" w:rsidRPr="00EF3FA2" w:rsidRDefault="00050CB2" w:rsidP="00050CB2">
      <w:pPr>
        <w:spacing w:after="120" w:line="240" w:lineRule="auto"/>
        <w:jc w:val="both"/>
        <w:rPr>
          <w:rFonts w:ascii="Times New Roman" w:hAnsi="Times New Roman" w:cs="Times New Roman"/>
          <w:color w:val="000000" w:themeColor="text1"/>
          <w:sz w:val="23"/>
          <w:szCs w:val="23"/>
        </w:rPr>
      </w:pPr>
      <w:r w:rsidRPr="00BE18F7">
        <w:rPr>
          <w:rFonts w:ascii="Times New Roman" w:hAnsi="Times New Roman" w:cs="Times New Roman"/>
          <w:color w:val="000000" w:themeColor="text1"/>
          <w:sz w:val="23"/>
          <w:szCs w:val="23"/>
          <w:lang w:val="en-US"/>
        </w:rPr>
        <w:t xml:space="preserve">MAYO, E. The hawthorne experiment. In: ______. </w:t>
      </w:r>
      <w:r w:rsidRPr="00BE18F7">
        <w:rPr>
          <w:rFonts w:ascii="Times New Roman" w:hAnsi="Times New Roman" w:cs="Times New Roman"/>
          <w:b/>
          <w:color w:val="000000" w:themeColor="text1"/>
          <w:sz w:val="23"/>
          <w:szCs w:val="23"/>
          <w:lang w:val="en-US"/>
        </w:rPr>
        <w:t>The Human Problems of an Industrial Civilization</w:t>
      </w:r>
      <w:r w:rsidRPr="00BE18F7">
        <w:rPr>
          <w:rFonts w:ascii="Times New Roman" w:hAnsi="Times New Roman" w:cs="Times New Roman"/>
          <w:color w:val="000000" w:themeColor="text1"/>
          <w:sz w:val="23"/>
          <w:szCs w:val="23"/>
          <w:lang w:val="en-US"/>
        </w:rPr>
        <w:t xml:space="preserve">. </w:t>
      </w:r>
      <w:r w:rsidRPr="00EF3FA2">
        <w:rPr>
          <w:rFonts w:ascii="Times New Roman" w:hAnsi="Times New Roman" w:cs="Times New Roman"/>
          <w:color w:val="000000" w:themeColor="text1"/>
          <w:sz w:val="23"/>
          <w:szCs w:val="23"/>
        </w:rPr>
        <w:t>New York: The Vicking Press, 1933. p. 53-73.</w:t>
      </w:r>
    </w:p>
    <w:p w:rsidR="00050CB2" w:rsidRPr="00BE18F7" w:rsidRDefault="00050CB2" w:rsidP="00050CB2">
      <w:pPr>
        <w:spacing w:after="120" w:line="240" w:lineRule="auto"/>
        <w:jc w:val="both"/>
        <w:rPr>
          <w:rFonts w:ascii="Times New Roman" w:hAnsi="Times New Roman" w:cs="Times New Roman"/>
          <w:color w:val="000000" w:themeColor="text1"/>
          <w:sz w:val="23"/>
          <w:szCs w:val="23"/>
        </w:rPr>
      </w:pPr>
      <w:r w:rsidRPr="00BE18F7">
        <w:rPr>
          <w:rFonts w:ascii="Times New Roman" w:hAnsi="Times New Roman" w:cs="Times New Roman"/>
          <w:color w:val="000000" w:themeColor="text1"/>
          <w:sz w:val="23"/>
          <w:szCs w:val="23"/>
        </w:rPr>
        <w:t xml:space="preserve">MCGREGOR, D. </w:t>
      </w:r>
      <w:r w:rsidRPr="00BE18F7">
        <w:rPr>
          <w:rFonts w:ascii="Times New Roman" w:hAnsi="Times New Roman" w:cs="Times New Roman"/>
          <w:b/>
          <w:color w:val="000000" w:themeColor="text1"/>
          <w:sz w:val="23"/>
          <w:szCs w:val="23"/>
        </w:rPr>
        <w:t xml:space="preserve">Os aspectos humanos da empresa. </w:t>
      </w:r>
      <w:r w:rsidRPr="00BE18F7">
        <w:rPr>
          <w:rFonts w:ascii="Times New Roman" w:hAnsi="Times New Roman" w:cs="Times New Roman"/>
          <w:color w:val="000000" w:themeColor="text1"/>
          <w:sz w:val="23"/>
          <w:szCs w:val="23"/>
        </w:rPr>
        <w:t>2 ed. Lisboa: Livraria Clássica Editora, 1972.</w:t>
      </w:r>
    </w:p>
    <w:sectPr w:rsidR="00050CB2" w:rsidRPr="00BE18F7" w:rsidSect="00975883">
      <w:type w:val="continuous"/>
      <w:pgSz w:w="11906" w:h="16838"/>
      <w:pgMar w:top="1327" w:right="1276" w:bottom="777" w:left="1418"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EEA" w:rsidRDefault="00D63EEA" w:rsidP="0012647E">
      <w:pPr>
        <w:spacing w:after="0" w:line="240" w:lineRule="auto"/>
      </w:pPr>
      <w:r>
        <w:separator/>
      </w:r>
    </w:p>
  </w:endnote>
  <w:endnote w:type="continuationSeparator" w:id="0">
    <w:p w:rsidR="00D63EEA" w:rsidRDefault="00D63EEA" w:rsidP="0012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83" w:rsidRDefault="00975883">
    <w:pPr>
      <w:pStyle w:val="Normal1"/>
      <w:spacing w:after="0"/>
    </w:pPr>
  </w:p>
  <w:tbl>
    <w:tblPr>
      <w:tblStyle w:val="a"/>
      <w:tblW w:w="9413" w:type="dxa"/>
      <w:tblInd w:w="-115" w:type="dxa"/>
      <w:tblLayout w:type="fixed"/>
      <w:tblLook w:val="0000" w:firstRow="0" w:lastRow="0" w:firstColumn="0" w:lastColumn="0" w:noHBand="0" w:noVBand="0"/>
    </w:tblPr>
    <w:tblGrid>
      <w:gridCol w:w="8472"/>
      <w:gridCol w:w="941"/>
    </w:tblGrid>
    <w:tr w:rsidR="00975883">
      <w:trPr>
        <w:trHeight w:val="220"/>
      </w:trPr>
      <w:tc>
        <w:tcPr>
          <w:tcW w:w="8472" w:type="dxa"/>
          <w:tcBorders>
            <w:top w:val="single" w:sz="4" w:space="0" w:color="000000"/>
          </w:tcBorders>
          <w:shd w:val="clear" w:color="auto" w:fill="FFFFFF"/>
        </w:tcPr>
        <w:p w:rsidR="00975883" w:rsidRDefault="00975883">
          <w:pPr>
            <w:pStyle w:val="Normal1"/>
            <w:spacing w:after="0" w:line="240" w:lineRule="auto"/>
            <w:jc w:val="right"/>
            <w:rPr>
              <w:sz w:val="20"/>
              <w:szCs w:val="20"/>
            </w:rPr>
          </w:pPr>
          <w:r>
            <w:rPr>
              <w:rFonts w:ascii="Times New Roman" w:eastAsia="Times New Roman" w:hAnsi="Times New Roman" w:cs="Times New Roman"/>
              <w:color w:val="808080"/>
              <w:sz w:val="20"/>
              <w:szCs w:val="20"/>
            </w:rPr>
            <w:t>Extensão em Ação, Fortaleza, v.1, n.10, Jan/Jun. 2016.</w:t>
          </w:r>
        </w:p>
      </w:tc>
      <w:tc>
        <w:tcPr>
          <w:tcW w:w="941" w:type="dxa"/>
          <w:tcBorders>
            <w:top w:val="single" w:sz="4" w:space="0" w:color="C0504D"/>
          </w:tcBorders>
          <w:shd w:val="clear" w:color="auto" w:fill="DBE5F1"/>
        </w:tcPr>
        <w:p w:rsidR="00975883" w:rsidRDefault="008B3180">
          <w:pPr>
            <w:pStyle w:val="Normal1"/>
            <w:spacing w:after="0" w:line="240" w:lineRule="auto"/>
            <w:jc w:val="center"/>
            <w:rPr>
              <w:rFonts w:ascii="Times New Roman" w:eastAsia="Times New Roman" w:hAnsi="Times New Roman" w:cs="Times New Roman"/>
              <w:sz w:val="20"/>
              <w:szCs w:val="20"/>
            </w:rPr>
          </w:pPr>
          <w:r>
            <w:fldChar w:fldCharType="begin"/>
          </w:r>
          <w:r>
            <w:instrText>PAGE</w:instrText>
          </w:r>
          <w:r>
            <w:fldChar w:fldCharType="separate"/>
          </w:r>
          <w:r w:rsidR="00B60717">
            <w:rPr>
              <w:noProof/>
            </w:rPr>
            <w:t>12</w:t>
          </w:r>
          <w:r>
            <w:rPr>
              <w:noProof/>
            </w:rPr>
            <w:fldChar w:fldCharType="end"/>
          </w:r>
        </w:p>
      </w:tc>
    </w:tr>
  </w:tbl>
  <w:p w:rsidR="00975883" w:rsidRDefault="00975883">
    <w:pPr>
      <w:pStyle w:val="Normal1"/>
      <w:spacing w:after="72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83" w:rsidRDefault="00975883">
    <w:pPr>
      <w:pStyle w:val="Normal1"/>
      <w:spacing w:after="0"/>
      <w:rPr>
        <w:sz w:val="20"/>
        <w:szCs w:val="20"/>
      </w:rPr>
    </w:pPr>
  </w:p>
  <w:tbl>
    <w:tblPr>
      <w:tblStyle w:val="a0"/>
      <w:tblW w:w="9660" w:type="dxa"/>
      <w:tblInd w:w="-115" w:type="dxa"/>
      <w:tblLayout w:type="fixed"/>
      <w:tblLook w:val="0000" w:firstRow="0" w:lastRow="0" w:firstColumn="0" w:lastColumn="0" w:noHBand="0" w:noVBand="0"/>
    </w:tblPr>
    <w:tblGrid>
      <w:gridCol w:w="8694"/>
      <w:gridCol w:w="966"/>
    </w:tblGrid>
    <w:tr w:rsidR="00975883">
      <w:trPr>
        <w:trHeight w:val="220"/>
      </w:trPr>
      <w:tc>
        <w:tcPr>
          <w:tcW w:w="8694" w:type="dxa"/>
          <w:tcBorders>
            <w:top w:val="single" w:sz="4" w:space="0" w:color="000000"/>
          </w:tcBorders>
          <w:shd w:val="clear" w:color="auto" w:fill="FFFFFF"/>
        </w:tcPr>
        <w:p w:rsidR="00975883" w:rsidRDefault="00975883">
          <w:pPr>
            <w:pStyle w:val="Normal1"/>
            <w:spacing w:after="0" w:line="240" w:lineRule="auto"/>
            <w:jc w:val="right"/>
            <w:rPr>
              <w:sz w:val="20"/>
              <w:szCs w:val="20"/>
            </w:rPr>
          </w:pPr>
          <w:r>
            <w:rPr>
              <w:rFonts w:ascii="Times New Roman" w:eastAsia="Times New Roman" w:hAnsi="Times New Roman" w:cs="Times New Roman"/>
              <w:color w:val="808080"/>
              <w:sz w:val="20"/>
              <w:szCs w:val="20"/>
            </w:rPr>
            <w:t>Extensão em Ação, Fortaleza, v.1, n.11, jul./out. 2016. Edição especial.</w:t>
          </w:r>
        </w:p>
      </w:tc>
      <w:tc>
        <w:tcPr>
          <w:tcW w:w="966" w:type="dxa"/>
          <w:tcBorders>
            <w:top w:val="single" w:sz="4" w:space="0" w:color="C0504D"/>
          </w:tcBorders>
          <w:shd w:val="clear" w:color="auto" w:fill="DBE5F1"/>
        </w:tcPr>
        <w:p w:rsidR="00975883" w:rsidRDefault="008B3180">
          <w:pPr>
            <w:pStyle w:val="Normal1"/>
            <w:spacing w:after="0" w:line="240" w:lineRule="auto"/>
            <w:jc w:val="center"/>
            <w:rPr>
              <w:rFonts w:ascii="Times New Roman" w:eastAsia="Times New Roman" w:hAnsi="Times New Roman" w:cs="Times New Roman"/>
              <w:sz w:val="20"/>
              <w:szCs w:val="20"/>
            </w:rPr>
          </w:pPr>
          <w:r>
            <w:fldChar w:fldCharType="begin"/>
          </w:r>
          <w:r>
            <w:instrText>PAGE</w:instrText>
          </w:r>
          <w:r>
            <w:fldChar w:fldCharType="separate"/>
          </w:r>
          <w:r w:rsidR="00B60717">
            <w:rPr>
              <w:noProof/>
            </w:rPr>
            <w:t>1</w:t>
          </w:r>
          <w:r>
            <w:rPr>
              <w:noProof/>
            </w:rPr>
            <w:fldChar w:fldCharType="end"/>
          </w:r>
        </w:p>
      </w:tc>
    </w:tr>
  </w:tbl>
  <w:p w:rsidR="00975883" w:rsidRDefault="00975883">
    <w:pPr>
      <w:pStyle w:val="Normal1"/>
      <w:spacing w:after="92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EEA" w:rsidRDefault="00D63EEA" w:rsidP="0012647E">
      <w:pPr>
        <w:spacing w:after="0" w:line="240" w:lineRule="auto"/>
      </w:pPr>
      <w:r>
        <w:separator/>
      </w:r>
    </w:p>
  </w:footnote>
  <w:footnote w:type="continuationSeparator" w:id="0">
    <w:p w:rsidR="00D63EEA" w:rsidRDefault="00D63EEA" w:rsidP="00126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883" w:rsidRDefault="00975883">
    <w:pPr>
      <w:pStyle w:val="Normal1"/>
      <w:spacing w:before="720" w:line="20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D03"/>
    <w:multiLevelType w:val="multilevel"/>
    <w:tmpl w:val="D212B5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0DF5BA5"/>
    <w:multiLevelType w:val="multilevel"/>
    <w:tmpl w:val="A4BE91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34293F19"/>
    <w:multiLevelType w:val="multilevel"/>
    <w:tmpl w:val="CC2663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7E"/>
    <w:rsid w:val="00050CB2"/>
    <w:rsid w:val="00087D88"/>
    <w:rsid w:val="0012647E"/>
    <w:rsid w:val="00151F88"/>
    <w:rsid w:val="00191955"/>
    <w:rsid w:val="00312147"/>
    <w:rsid w:val="00323088"/>
    <w:rsid w:val="0035603D"/>
    <w:rsid w:val="003B4F22"/>
    <w:rsid w:val="004731AC"/>
    <w:rsid w:val="005071F2"/>
    <w:rsid w:val="00513520"/>
    <w:rsid w:val="0057417A"/>
    <w:rsid w:val="005A0E95"/>
    <w:rsid w:val="0065630F"/>
    <w:rsid w:val="006B2D85"/>
    <w:rsid w:val="006B3C02"/>
    <w:rsid w:val="007667BD"/>
    <w:rsid w:val="007C1248"/>
    <w:rsid w:val="00846FC4"/>
    <w:rsid w:val="00885F9D"/>
    <w:rsid w:val="008B3180"/>
    <w:rsid w:val="008C3234"/>
    <w:rsid w:val="009643D4"/>
    <w:rsid w:val="00975883"/>
    <w:rsid w:val="009D620E"/>
    <w:rsid w:val="00A3751F"/>
    <w:rsid w:val="00A439CB"/>
    <w:rsid w:val="00A87DB6"/>
    <w:rsid w:val="00B60717"/>
    <w:rsid w:val="00B82F88"/>
    <w:rsid w:val="00BB0383"/>
    <w:rsid w:val="00C524A3"/>
    <w:rsid w:val="00D63EEA"/>
    <w:rsid w:val="00DE1850"/>
    <w:rsid w:val="00EF26A3"/>
    <w:rsid w:val="00EF3FA2"/>
    <w:rsid w:val="00F75BD3"/>
    <w:rsid w:val="00FE35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8C62C-956A-438A-B567-20D667D8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pt-BR" w:eastAsia="pt-BR"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850"/>
  </w:style>
  <w:style w:type="paragraph" w:styleId="Ttulo1">
    <w:name w:val="heading 1"/>
    <w:basedOn w:val="Normal1"/>
    <w:next w:val="Normal1"/>
    <w:rsid w:val="0012647E"/>
    <w:pPr>
      <w:keepNext/>
      <w:keepLines/>
      <w:spacing w:after="0" w:line="240" w:lineRule="auto"/>
      <w:ind w:left="432" w:hanging="432"/>
      <w:jc w:val="center"/>
      <w:outlineLvl w:val="0"/>
    </w:pPr>
    <w:rPr>
      <w:rFonts w:ascii="Times New Roman" w:eastAsia="Times New Roman" w:hAnsi="Times New Roman" w:cs="Times New Roman"/>
      <w:b/>
      <w:sz w:val="20"/>
      <w:szCs w:val="20"/>
    </w:rPr>
  </w:style>
  <w:style w:type="paragraph" w:styleId="Ttulo2">
    <w:name w:val="heading 2"/>
    <w:basedOn w:val="Normal1"/>
    <w:next w:val="Normal1"/>
    <w:rsid w:val="0012647E"/>
    <w:pPr>
      <w:keepNext/>
      <w:keepLines/>
      <w:spacing w:after="0" w:line="240" w:lineRule="auto"/>
      <w:ind w:left="576" w:hanging="576"/>
      <w:outlineLvl w:val="1"/>
    </w:pPr>
    <w:rPr>
      <w:rFonts w:ascii="Times New Roman" w:eastAsia="Times New Roman" w:hAnsi="Times New Roman" w:cs="Times New Roman"/>
      <w:b/>
      <w:sz w:val="20"/>
      <w:szCs w:val="20"/>
    </w:rPr>
  </w:style>
  <w:style w:type="paragraph" w:styleId="Ttulo3">
    <w:name w:val="heading 3"/>
    <w:basedOn w:val="Normal1"/>
    <w:next w:val="Normal1"/>
    <w:rsid w:val="0012647E"/>
    <w:pPr>
      <w:keepNext/>
      <w:spacing w:before="240" w:after="60" w:line="240" w:lineRule="auto"/>
      <w:ind w:left="2160" w:hanging="720"/>
      <w:outlineLvl w:val="2"/>
    </w:pPr>
    <w:rPr>
      <w:rFonts w:ascii="Cambria" w:eastAsia="Cambria" w:hAnsi="Cambria" w:cs="Cambria"/>
      <w:b/>
      <w:sz w:val="26"/>
      <w:szCs w:val="26"/>
    </w:rPr>
  </w:style>
  <w:style w:type="paragraph" w:styleId="Ttulo4">
    <w:name w:val="heading 4"/>
    <w:basedOn w:val="Normal1"/>
    <w:next w:val="Normal1"/>
    <w:rsid w:val="0012647E"/>
    <w:pPr>
      <w:keepNext/>
      <w:spacing w:before="240" w:after="60" w:line="240" w:lineRule="auto"/>
      <w:ind w:left="2880" w:hanging="720"/>
      <w:outlineLvl w:val="3"/>
    </w:pPr>
    <w:rPr>
      <w:b/>
      <w:sz w:val="28"/>
      <w:szCs w:val="28"/>
    </w:rPr>
  </w:style>
  <w:style w:type="paragraph" w:styleId="Ttulo5">
    <w:name w:val="heading 5"/>
    <w:basedOn w:val="Normal1"/>
    <w:next w:val="Normal1"/>
    <w:rsid w:val="0012647E"/>
    <w:pPr>
      <w:spacing w:before="240" w:after="60" w:line="240" w:lineRule="auto"/>
      <w:ind w:left="3600" w:hanging="720"/>
      <w:outlineLvl w:val="4"/>
    </w:pPr>
    <w:rPr>
      <w:b/>
      <w:i/>
      <w:sz w:val="26"/>
      <w:szCs w:val="26"/>
    </w:rPr>
  </w:style>
  <w:style w:type="paragraph" w:styleId="Ttulo6">
    <w:name w:val="heading 6"/>
    <w:basedOn w:val="Normal1"/>
    <w:next w:val="Normal1"/>
    <w:rsid w:val="0012647E"/>
    <w:pPr>
      <w:spacing w:before="240" w:after="60" w:line="240" w:lineRule="auto"/>
      <w:ind w:left="4320" w:hanging="720"/>
      <w:outlineLvl w:val="5"/>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12647E"/>
  </w:style>
  <w:style w:type="table" w:customStyle="1" w:styleId="TableNormal">
    <w:name w:val="Table Normal"/>
    <w:rsid w:val="0012647E"/>
    <w:tblPr>
      <w:tblCellMar>
        <w:top w:w="0" w:type="dxa"/>
        <w:left w:w="0" w:type="dxa"/>
        <w:bottom w:w="0" w:type="dxa"/>
        <w:right w:w="0" w:type="dxa"/>
      </w:tblCellMar>
    </w:tblPr>
  </w:style>
  <w:style w:type="paragraph" w:styleId="Ttulo">
    <w:name w:val="Title"/>
    <w:basedOn w:val="Normal1"/>
    <w:next w:val="Normal1"/>
    <w:rsid w:val="0012647E"/>
    <w:pPr>
      <w:keepNext/>
      <w:keepLines/>
      <w:spacing w:before="480" w:after="120"/>
      <w:contextualSpacing/>
    </w:pPr>
    <w:rPr>
      <w:b/>
      <w:sz w:val="72"/>
      <w:szCs w:val="72"/>
    </w:rPr>
  </w:style>
  <w:style w:type="paragraph" w:styleId="Subttulo">
    <w:name w:val="Subtitle"/>
    <w:basedOn w:val="Normal1"/>
    <w:next w:val="Normal1"/>
    <w:rsid w:val="0012647E"/>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12647E"/>
    <w:tblPr>
      <w:tblStyleRowBandSize w:val="1"/>
      <w:tblStyleColBandSize w:val="1"/>
      <w:tblCellMar>
        <w:top w:w="72" w:type="dxa"/>
        <w:left w:w="115" w:type="dxa"/>
        <w:bottom w:w="72" w:type="dxa"/>
        <w:right w:w="115" w:type="dxa"/>
      </w:tblCellMar>
    </w:tblPr>
  </w:style>
  <w:style w:type="table" w:customStyle="1" w:styleId="a0">
    <w:basedOn w:val="TableNormal"/>
    <w:rsid w:val="0012647E"/>
    <w:tblPr>
      <w:tblStyleRowBandSize w:val="1"/>
      <w:tblStyleColBandSize w:val="1"/>
      <w:tblCellMar>
        <w:top w:w="72" w:type="dxa"/>
        <w:left w:w="115" w:type="dxa"/>
        <w:bottom w:w="72" w:type="dxa"/>
        <w:right w:w="115" w:type="dxa"/>
      </w:tblCellMar>
    </w:tblPr>
  </w:style>
  <w:style w:type="paragraph" w:styleId="Legenda">
    <w:name w:val="caption"/>
    <w:basedOn w:val="Normal"/>
    <w:next w:val="Normal"/>
    <w:uiPriority w:val="35"/>
    <w:unhideWhenUsed/>
    <w:qFormat/>
    <w:rsid w:val="00050CB2"/>
    <w:pPr>
      <w:widowControl/>
      <w:spacing w:line="240" w:lineRule="auto"/>
    </w:pPr>
    <w:rPr>
      <w:rFonts w:asciiTheme="minorHAnsi" w:eastAsiaTheme="minorHAnsi" w:hAnsiTheme="minorHAnsi" w:cstheme="minorBidi"/>
      <w:b/>
      <w:bCs/>
      <w:color w:val="4F81BD"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8E8EE-309D-48E2-B80A-FAF71C4B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4325</Words>
  <Characters>23358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 PREX</dc:creator>
  <cp:lastModifiedBy>UFC</cp:lastModifiedBy>
  <cp:revision>13</cp:revision>
  <dcterms:created xsi:type="dcterms:W3CDTF">2017-09-04T00:31:00Z</dcterms:created>
  <dcterms:modified xsi:type="dcterms:W3CDTF">2017-09-05T13:02:00Z</dcterms:modified>
</cp:coreProperties>
</file>