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DA" w:rsidRPr="00D53A7A" w:rsidRDefault="002275DA" w:rsidP="00D53A7A">
      <w:pPr>
        <w:tabs>
          <w:tab w:val="left" w:pos="3329"/>
        </w:tabs>
        <w:spacing w:line="480" w:lineRule="auto"/>
        <w:rPr>
          <w:rFonts w:ascii="Times New Roman" w:hAnsi="Times New Roman" w:cs="Times New Roman"/>
          <w:b/>
          <w:sz w:val="24"/>
          <w:szCs w:val="24"/>
          <w:lang w:val="de-DE"/>
        </w:rPr>
      </w:pPr>
      <w:r w:rsidRPr="00D53A7A">
        <w:rPr>
          <w:rFonts w:ascii="Times New Roman" w:hAnsi="Times New Roman" w:cs="Times New Roman"/>
          <w:b/>
          <w:sz w:val="24"/>
          <w:szCs w:val="24"/>
          <w:lang w:val="de-DE"/>
        </w:rPr>
        <w:t>Página de rosto</w:t>
      </w:r>
    </w:p>
    <w:p w:rsidR="002275DA" w:rsidRPr="00D53A7A" w:rsidRDefault="002275DA" w:rsidP="00D53A7A">
      <w:pPr>
        <w:autoSpaceDE w:val="0"/>
        <w:autoSpaceDN w:val="0"/>
        <w:adjustRightInd w:val="0"/>
        <w:spacing w:after="0" w:line="480" w:lineRule="auto"/>
        <w:rPr>
          <w:rFonts w:ascii="Times New Roman" w:hAnsi="Times New Roman" w:cs="Times New Roman"/>
          <w:sz w:val="24"/>
          <w:szCs w:val="24"/>
        </w:rPr>
      </w:pPr>
      <w:r w:rsidRPr="00D53A7A">
        <w:rPr>
          <w:rFonts w:ascii="Times New Roman" w:hAnsi="Times New Roman" w:cs="Times New Roman"/>
          <w:b/>
          <w:sz w:val="24"/>
          <w:szCs w:val="24"/>
        </w:rPr>
        <w:t>Título do artigo:</w:t>
      </w:r>
      <w:r w:rsidRPr="00D53A7A">
        <w:rPr>
          <w:rFonts w:ascii="Times New Roman" w:hAnsi="Times New Roman" w:cs="Times New Roman"/>
          <w:sz w:val="24"/>
          <w:szCs w:val="24"/>
        </w:rPr>
        <w:t xml:space="preserve"> </w:t>
      </w:r>
    </w:p>
    <w:p w:rsidR="002275DA" w:rsidRPr="003D38AB" w:rsidRDefault="002275DA" w:rsidP="00D53A7A">
      <w:pPr>
        <w:autoSpaceDE w:val="0"/>
        <w:autoSpaceDN w:val="0"/>
        <w:adjustRightInd w:val="0"/>
        <w:spacing w:after="0" w:line="480" w:lineRule="auto"/>
        <w:rPr>
          <w:rFonts w:ascii="Times New Roman" w:hAnsi="Times New Roman" w:cs="Times New Roman"/>
          <w:bCs/>
          <w:sz w:val="24"/>
          <w:szCs w:val="24"/>
        </w:rPr>
      </w:pPr>
      <w:r w:rsidRPr="00D53A7A">
        <w:rPr>
          <w:rFonts w:ascii="Times New Roman" w:hAnsi="Times New Roman" w:cs="Times New Roman"/>
          <w:bCs/>
          <w:sz w:val="24"/>
          <w:szCs w:val="24"/>
        </w:rPr>
        <w:t>Perfil do uso de agentes biológicos no tratamento da artrite reumatoide: experiência do Hospital Universitário Walter Cantídio</w:t>
      </w:r>
    </w:p>
    <w:p w:rsidR="002275DA" w:rsidRPr="000E3FA4" w:rsidRDefault="003D38AB" w:rsidP="00D53A7A">
      <w:pPr>
        <w:autoSpaceDE w:val="0"/>
        <w:autoSpaceDN w:val="0"/>
        <w:adjustRightInd w:val="0"/>
        <w:spacing w:after="0" w:line="480" w:lineRule="auto"/>
        <w:rPr>
          <w:rFonts w:ascii="Times New Roman" w:hAnsi="Times New Roman" w:cs="Times New Roman"/>
          <w:bCs/>
          <w:i/>
          <w:sz w:val="24"/>
          <w:szCs w:val="24"/>
          <w:lang w:val="en-US"/>
        </w:rPr>
      </w:pPr>
      <w:r w:rsidRPr="003D38AB">
        <w:rPr>
          <w:rFonts w:ascii="Times New Roman" w:hAnsi="Times New Roman" w:cs="Times New Roman"/>
          <w:bCs/>
          <w:i/>
          <w:sz w:val="24"/>
          <w:szCs w:val="24"/>
          <w:lang w:val="en-US"/>
        </w:rPr>
        <w:t>Usage profile of biological agents on rheumatoid arthritis treatment: experience of the brasilian University Hospital Walter Cantídio</w:t>
      </w:r>
    </w:p>
    <w:p w:rsidR="002275DA" w:rsidRPr="00D53A7A" w:rsidRDefault="002275DA" w:rsidP="00D53A7A">
      <w:pPr>
        <w:autoSpaceDE w:val="0"/>
        <w:autoSpaceDN w:val="0"/>
        <w:adjustRightInd w:val="0"/>
        <w:spacing w:after="0" w:line="480" w:lineRule="auto"/>
        <w:rPr>
          <w:rFonts w:ascii="Times New Roman" w:hAnsi="Times New Roman" w:cs="Times New Roman"/>
          <w:bCs/>
          <w:sz w:val="24"/>
          <w:szCs w:val="24"/>
        </w:rPr>
      </w:pPr>
      <w:r w:rsidRPr="00D53A7A">
        <w:rPr>
          <w:rFonts w:ascii="Times New Roman" w:hAnsi="Times New Roman" w:cs="Times New Roman"/>
          <w:b/>
          <w:bCs/>
          <w:sz w:val="24"/>
          <w:szCs w:val="24"/>
        </w:rPr>
        <w:t>Autores:</w:t>
      </w:r>
    </w:p>
    <w:p w:rsidR="002275DA" w:rsidRPr="00D53A7A" w:rsidRDefault="002275DA" w:rsidP="00D53A7A">
      <w:pPr>
        <w:autoSpaceDE w:val="0"/>
        <w:autoSpaceDN w:val="0"/>
        <w:adjustRightInd w:val="0"/>
        <w:spacing w:after="0" w:line="480" w:lineRule="auto"/>
        <w:rPr>
          <w:rFonts w:ascii="Times New Roman" w:hAnsi="Times New Roman" w:cs="Times New Roman"/>
          <w:bCs/>
          <w:sz w:val="24"/>
          <w:szCs w:val="24"/>
        </w:rPr>
      </w:pPr>
      <w:r w:rsidRPr="00D53A7A">
        <w:rPr>
          <w:rFonts w:ascii="Times New Roman" w:hAnsi="Times New Roman" w:cs="Times New Roman"/>
          <w:bCs/>
          <w:sz w:val="24"/>
          <w:szCs w:val="24"/>
        </w:rPr>
        <w:t>Raquel Telles Quixadá Lima</w:t>
      </w:r>
      <w:r w:rsidRPr="00D53A7A">
        <w:rPr>
          <w:rFonts w:ascii="Times New Roman" w:hAnsi="Times New Roman" w:cs="Times New Roman"/>
          <w:bCs/>
          <w:sz w:val="24"/>
          <w:szCs w:val="24"/>
          <w:vertAlign w:val="superscript"/>
        </w:rPr>
        <w:t>a</w:t>
      </w:r>
      <w:r w:rsidRPr="00D53A7A">
        <w:rPr>
          <w:rFonts w:ascii="Times New Roman" w:hAnsi="Times New Roman" w:cs="Times New Roman"/>
          <w:bCs/>
          <w:sz w:val="24"/>
          <w:szCs w:val="24"/>
        </w:rPr>
        <w:t xml:space="preserve">, Mailze Campos </w:t>
      </w:r>
      <w:proofErr w:type="spellStart"/>
      <w:r w:rsidRPr="00D53A7A">
        <w:rPr>
          <w:rFonts w:ascii="Times New Roman" w:hAnsi="Times New Roman" w:cs="Times New Roman"/>
          <w:bCs/>
          <w:sz w:val="24"/>
          <w:szCs w:val="24"/>
        </w:rPr>
        <w:t>Bezerra</w:t>
      </w:r>
      <w:r w:rsidR="000E3FA4">
        <w:rPr>
          <w:rFonts w:ascii="Times New Roman" w:hAnsi="Times New Roman" w:cs="Times New Roman"/>
          <w:bCs/>
          <w:sz w:val="24"/>
          <w:szCs w:val="24"/>
          <w:vertAlign w:val="superscript"/>
        </w:rPr>
        <w:t>b</w:t>
      </w:r>
      <w:proofErr w:type="spellEnd"/>
      <w:r w:rsidRPr="00D53A7A">
        <w:rPr>
          <w:rFonts w:ascii="Times New Roman" w:hAnsi="Times New Roman" w:cs="Times New Roman"/>
          <w:bCs/>
          <w:sz w:val="24"/>
          <w:szCs w:val="24"/>
        </w:rPr>
        <w:t xml:space="preserve">, Ádilla Thaysa Mendes </w:t>
      </w:r>
      <w:proofErr w:type="spellStart"/>
      <w:r w:rsidRPr="00D53A7A">
        <w:rPr>
          <w:rFonts w:ascii="Times New Roman" w:hAnsi="Times New Roman" w:cs="Times New Roman"/>
          <w:bCs/>
          <w:sz w:val="24"/>
          <w:szCs w:val="24"/>
        </w:rPr>
        <w:t>Ribeiro</w:t>
      </w:r>
      <w:r w:rsidR="000E3FA4">
        <w:rPr>
          <w:rFonts w:ascii="Times New Roman" w:hAnsi="Times New Roman" w:cs="Times New Roman"/>
          <w:bCs/>
          <w:sz w:val="24"/>
          <w:szCs w:val="24"/>
          <w:vertAlign w:val="superscript"/>
        </w:rPr>
        <w:t>c</w:t>
      </w:r>
      <w:proofErr w:type="spellEnd"/>
      <w:r w:rsidRPr="00D53A7A">
        <w:rPr>
          <w:rFonts w:ascii="Times New Roman" w:hAnsi="Times New Roman" w:cs="Times New Roman"/>
          <w:bCs/>
          <w:sz w:val="24"/>
          <w:szCs w:val="24"/>
        </w:rPr>
        <w:t xml:space="preserve"> Marta Maria das Chagas </w:t>
      </w:r>
      <w:proofErr w:type="spellStart"/>
      <w:r w:rsidRPr="00D53A7A">
        <w:rPr>
          <w:rFonts w:ascii="Times New Roman" w:hAnsi="Times New Roman" w:cs="Times New Roman"/>
          <w:bCs/>
          <w:sz w:val="24"/>
          <w:szCs w:val="24"/>
        </w:rPr>
        <w:t>Medeiros</w:t>
      </w:r>
      <w:r w:rsidR="000E3FA4">
        <w:rPr>
          <w:rFonts w:ascii="Times New Roman" w:hAnsi="Times New Roman" w:cs="Times New Roman"/>
          <w:bCs/>
          <w:sz w:val="24"/>
          <w:szCs w:val="24"/>
          <w:vertAlign w:val="superscript"/>
        </w:rPr>
        <w:t>d</w:t>
      </w:r>
      <w:proofErr w:type="spellEnd"/>
      <w:r w:rsidRPr="00D53A7A">
        <w:rPr>
          <w:rFonts w:ascii="Times New Roman" w:hAnsi="Times New Roman" w:cs="Times New Roman"/>
          <w:bCs/>
          <w:sz w:val="24"/>
          <w:szCs w:val="24"/>
        </w:rPr>
        <w:t xml:space="preserve">, </w:t>
      </w:r>
    </w:p>
    <w:p w:rsidR="002275DA" w:rsidRDefault="002275DA" w:rsidP="00D53A7A">
      <w:pPr>
        <w:autoSpaceDE w:val="0"/>
        <w:autoSpaceDN w:val="0"/>
        <w:adjustRightInd w:val="0"/>
        <w:spacing w:after="0" w:line="480" w:lineRule="auto"/>
        <w:rPr>
          <w:rFonts w:ascii="Times New Roman" w:hAnsi="Times New Roman" w:cs="Times New Roman"/>
          <w:bCs/>
          <w:sz w:val="24"/>
          <w:szCs w:val="24"/>
        </w:rPr>
      </w:pPr>
      <w:proofErr w:type="gramStart"/>
      <w:r w:rsidRPr="00D53A7A">
        <w:rPr>
          <w:rFonts w:ascii="Times New Roman" w:hAnsi="Times New Roman" w:cs="Times New Roman"/>
          <w:bCs/>
          <w:sz w:val="24"/>
          <w:szCs w:val="24"/>
          <w:vertAlign w:val="superscript"/>
        </w:rPr>
        <w:t>a</w:t>
      </w:r>
      <w:proofErr w:type="gramEnd"/>
      <w:r w:rsidRPr="00D53A7A">
        <w:rPr>
          <w:rFonts w:ascii="Times New Roman" w:hAnsi="Times New Roman" w:cs="Times New Roman"/>
          <w:bCs/>
          <w:sz w:val="24"/>
          <w:szCs w:val="24"/>
        </w:rPr>
        <w:t xml:space="preserve"> </w:t>
      </w:r>
      <w:r w:rsidR="000E3FA4">
        <w:rPr>
          <w:rFonts w:ascii="Times New Roman" w:hAnsi="Times New Roman" w:cs="Times New Roman"/>
          <w:bCs/>
          <w:sz w:val="24"/>
          <w:szCs w:val="24"/>
        </w:rPr>
        <w:t xml:space="preserve">Reumatologista pela Universidade Federal do Ceará, </w:t>
      </w:r>
      <w:r w:rsidRPr="00D53A7A">
        <w:rPr>
          <w:rFonts w:ascii="Times New Roman" w:hAnsi="Times New Roman" w:cs="Times New Roman"/>
          <w:bCs/>
          <w:sz w:val="24"/>
          <w:szCs w:val="24"/>
        </w:rPr>
        <w:t>Hospital Universitário Walter Cantídio, Fortaleza, CE, Brasil</w:t>
      </w:r>
    </w:p>
    <w:p w:rsidR="000E3FA4" w:rsidRPr="000E3FA4" w:rsidRDefault="000E3FA4" w:rsidP="00D53A7A">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vertAlign w:val="superscript"/>
        </w:rPr>
        <w:t xml:space="preserve">b </w:t>
      </w:r>
      <w:r>
        <w:rPr>
          <w:rFonts w:ascii="Times New Roman" w:hAnsi="Times New Roman" w:cs="Times New Roman"/>
          <w:bCs/>
          <w:sz w:val="24"/>
          <w:szCs w:val="24"/>
        </w:rPr>
        <w:t xml:space="preserve">Médica assistente do serviço de Reumatologia do Hospital Universitário Walter Cantídio, Fortaleza, CE, </w:t>
      </w:r>
      <w:proofErr w:type="gramStart"/>
      <w:r>
        <w:rPr>
          <w:rFonts w:ascii="Times New Roman" w:hAnsi="Times New Roman" w:cs="Times New Roman"/>
          <w:bCs/>
          <w:sz w:val="24"/>
          <w:szCs w:val="24"/>
        </w:rPr>
        <w:t>Brasil</w:t>
      </w:r>
      <w:proofErr w:type="gramEnd"/>
      <w:r>
        <w:rPr>
          <w:rFonts w:ascii="Times New Roman" w:hAnsi="Times New Roman" w:cs="Times New Roman"/>
          <w:bCs/>
          <w:sz w:val="24"/>
          <w:szCs w:val="24"/>
        </w:rPr>
        <w:t xml:space="preserve"> </w:t>
      </w:r>
    </w:p>
    <w:p w:rsidR="002275DA" w:rsidRPr="00D53A7A" w:rsidRDefault="000E3FA4" w:rsidP="00D53A7A">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vertAlign w:val="superscript"/>
        </w:rPr>
        <w:t>c</w:t>
      </w:r>
      <w:r w:rsidR="002275DA" w:rsidRPr="00D53A7A">
        <w:rPr>
          <w:rFonts w:ascii="Times New Roman" w:hAnsi="Times New Roman" w:cs="Times New Roman"/>
          <w:bCs/>
          <w:sz w:val="24"/>
          <w:szCs w:val="24"/>
        </w:rPr>
        <w:t xml:space="preserve"> Estudante de medicina da Universidade Federal do Ceará, Fortaleza, CE, </w:t>
      </w:r>
      <w:proofErr w:type="gramStart"/>
      <w:r w:rsidR="002275DA" w:rsidRPr="00D53A7A">
        <w:rPr>
          <w:rFonts w:ascii="Times New Roman" w:hAnsi="Times New Roman" w:cs="Times New Roman"/>
          <w:bCs/>
          <w:sz w:val="24"/>
          <w:szCs w:val="24"/>
        </w:rPr>
        <w:t>Brasil</w:t>
      </w:r>
      <w:proofErr w:type="gramEnd"/>
      <w:r w:rsidR="002275DA" w:rsidRPr="00D53A7A">
        <w:rPr>
          <w:rFonts w:ascii="Times New Roman" w:hAnsi="Times New Roman" w:cs="Times New Roman"/>
          <w:sz w:val="24"/>
          <w:szCs w:val="24"/>
        </w:rPr>
        <w:t xml:space="preserve"> </w:t>
      </w:r>
    </w:p>
    <w:p w:rsidR="002275DA" w:rsidRPr="000E3FA4" w:rsidRDefault="000E3FA4" w:rsidP="00D53A7A">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vertAlign w:val="superscript"/>
        </w:rPr>
        <w:t>d</w:t>
      </w:r>
      <w:r w:rsidR="002275DA" w:rsidRPr="00D53A7A">
        <w:rPr>
          <w:rFonts w:ascii="Times New Roman" w:hAnsi="Times New Roman" w:cs="Times New Roman"/>
          <w:bCs/>
          <w:sz w:val="24"/>
          <w:szCs w:val="24"/>
        </w:rPr>
        <w:t xml:space="preserve"> </w:t>
      </w:r>
      <w:r w:rsidR="002275DA" w:rsidRPr="00D53A7A">
        <w:rPr>
          <w:rFonts w:ascii="Times New Roman" w:hAnsi="Times New Roman" w:cs="Times New Roman"/>
          <w:sz w:val="24"/>
          <w:szCs w:val="24"/>
        </w:rPr>
        <w:t xml:space="preserve">Professora titular da </w:t>
      </w:r>
      <w:r w:rsidR="002275DA" w:rsidRPr="00D53A7A">
        <w:rPr>
          <w:rFonts w:ascii="Times New Roman" w:hAnsi="Times New Roman" w:cs="Times New Roman"/>
          <w:bCs/>
          <w:sz w:val="24"/>
          <w:szCs w:val="24"/>
        </w:rPr>
        <w:t xml:space="preserve">Faculdade de Medicina da Universidade Federal do Ceará, Fortaleza, CE, </w:t>
      </w:r>
      <w:proofErr w:type="gramStart"/>
      <w:r w:rsidR="002275DA" w:rsidRPr="00D53A7A">
        <w:rPr>
          <w:rFonts w:ascii="Times New Roman" w:hAnsi="Times New Roman" w:cs="Times New Roman"/>
          <w:bCs/>
          <w:sz w:val="24"/>
          <w:szCs w:val="24"/>
        </w:rPr>
        <w:t>Brasil</w:t>
      </w:r>
      <w:proofErr w:type="gramEnd"/>
    </w:p>
    <w:p w:rsidR="002275DA" w:rsidRPr="00D53A7A" w:rsidRDefault="002275DA" w:rsidP="00D53A7A">
      <w:pPr>
        <w:autoSpaceDE w:val="0"/>
        <w:autoSpaceDN w:val="0"/>
        <w:adjustRightInd w:val="0"/>
        <w:spacing w:after="0" w:line="480" w:lineRule="auto"/>
        <w:rPr>
          <w:rFonts w:ascii="Times New Roman" w:hAnsi="Times New Roman" w:cs="Times New Roman"/>
          <w:bCs/>
          <w:sz w:val="24"/>
          <w:szCs w:val="24"/>
        </w:rPr>
      </w:pPr>
      <w:r w:rsidRPr="00D53A7A">
        <w:rPr>
          <w:rFonts w:ascii="Times New Roman" w:hAnsi="Times New Roman" w:cs="Times New Roman"/>
          <w:b/>
          <w:bCs/>
          <w:sz w:val="24"/>
          <w:szCs w:val="24"/>
        </w:rPr>
        <w:t>Instituição:</w:t>
      </w:r>
      <w:r w:rsidRPr="00D53A7A">
        <w:rPr>
          <w:rFonts w:ascii="Times New Roman" w:hAnsi="Times New Roman" w:cs="Times New Roman"/>
          <w:bCs/>
          <w:sz w:val="24"/>
          <w:szCs w:val="24"/>
        </w:rPr>
        <w:t xml:space="preserve"> </w:t>
      </w:r>
    </w:p>
    <w:p w:rsidR="002275DA" w:rsidRPr="00D53A7A" w:rsidRDefault="002275DA" w:rsidP="00D53A7A">
      <w:pPr>
        <w:autoSpaceDE w:val="0"/>
        <w:autoSpaceDN w:val="0"/>
        <w:adjustRightInd w:val="0"/>
        <w:spacing w:after="0" w:line="480" w:lineRule="auto"/>
        <w:rPr>
          <w:rFonts w:ascii="Times New Roman" w:hAnsi="Times New Roman" w:cs="Times New Roman"/>
          <w:bCs/>
          <w:sz w:val="24"/>
          <w:szCs w:val="24"/>
        </w:rPr>
      </w:pPr>
      <w:r w:rsidRPr="00D53A7A">
        <w:rPr>
          <w:rFonts w:ascii="Times New Roman" w:hAnsi="Times New Roman" w:cs="Times New Roman"/>
          <w:bCs/>
          <w:sz w:val="24"/>
          <w:szCs w:val="24"/>
        </w:rPr>
        <w:t>Universidade Federal do Ceará / Hospital Universitário Walter Cantídio</w:t>
      </w:r>
    </w:p>
    <w:p w:rsidR="002275DA" w:rsidRPr="00D53A7A" w:rsidRDefault="002275DA" w:rsidP="00D53A7A">
      <w:pPr>
        <w:autoSpaceDE w:val="0"/>
        <w:autoSpaceDN w:val="0"/>
        <w:adjustRightInd w:val="0"/>
        <w:spacing w:after="0" w:line="480" w:lineRule="auto"/>
        <w:rPr>
          <w:rFonts w:ascii="Times New Roman" w:hAnsi="Times New Roman" w:cs="Times New Roman"/>
          <w:bCs/>
          <w:sz w:val="24"/>
          <w:szCs w:val="24"/>
        </w:rPr>
      </w:pPr>
      <w:r w:rsidRPr="00D53A7A">
        <w:rPr>
          <w:rFonts w:ascii="Times New Roman" w:hAnsi="Times New Roman" w:cs="Times New Roman"/>
          <w:b/>
          <w:bCs/>
          <w:sz w:val="24"/>
          <w:szCs w:val="24"/>
        </w:rPr>
        <w:t>Autor responsável para correspondência:</w:t>
      </w:r>
    </w:p>
    <w:p w:rsidR="002275DA" w:rsidRPr="00D53A7A" w:rsidRDefault="002275DA" w:rsidP="00D53A7A">
      <w:pPr>
        <w:autoSpaceDE w:val="0"/>
        <w:autoSpaceDN w:val="0"/>
        <w:adjustRightInd w:val="0"/>
        <w:spacing w:after="0" w:line="480" w:lineRule="auto"/>
        <w:rPr>
          <w:rFonts w:ascii="Times New Roman" w:hAnsi="Times New Roman" w:cs="Times New Roman"/>
          <w:bCs/>
          <w:sz w:val="24"/>
          <w:szCs w:val="24"/>
        </w:rPr>
      </w:pPr>
      <w:r w:rsidRPr="00D53A7A">
        <w:rPr>
          <w:rFonts w:ascii="Times New Roman" w:hAnsi="Times New Roman" w:cs="Times New Roman"/>
          <w:bCs/>
          <w:sz w:val="24"/>
          <w:szCs w:val="24"/>
        </w:rPr>
        <w:t xml:space="preserve">Raquel Telles Quixadá Lima </w:t>
      </w:r>
    </w:p>
    <w:p w:rsidR="002275DA" w:rsidRPr="00D53A7A" w:rsidRDefault="002275DA" w:rsidP="00D53A7A">
      <w:pPr>
        <w:autoSpaceDE w:val="0"/>
        <w:autoSpaceDN w:val="0"/>
        <w:adjustRightInd w:val="0"/>
        <w:spacing w:after="0" w:line="480" w:lineRule="auto"/>
        <w:rPr>
          <w:rStyle w:val="go"/>
          <w:rFonts w:ascii="Times New Roman" w:hAnsi="Times New Roman" w:cs="Times New Roman"/>
          <w:sz w:val="24"/>
          <w:szCs w:val="24"/>
          <w:lang w:val="en-US"/>
        </w:rPr>
      </w:pPr>
      <w:r w:rsidRPr="00D53A7A">
        <w:rPr>
          <w:rStyle w:val="go"/>
          <w:rFonts w:ascii="Times New Roman" w:hAnsi="Times New Roman" w:cs="Times New Roman"/>
          <w:sz w:val="24"/>
          <w:szCs w:val="24"/>
          <w:lang w:val="en-US"/>
        </w:rPr>
        <w:t>Email: raqueltquixada@gmail.com</w:t>
      </w:r>
    </w:p>
    <w:p w:rsidR="002275DA" w:rsidRPr="00D53A7A" w:rsidRDefault="002275DA" w:rsidP="00D53A7A">
      <w:pPr>
        <w:autoSpaceDE w:val="0"/>
        <w:autoSpaceDN w:val="0"/>
        <w:adjustRightInd w:val="0"/>
        <w:spacing w:after="0" w:line="480" w:lineRule="auto"/>
        <w:rPr>
          <w:rStyle w:val="go"/>
          <w:rFonts w:ascii="Times New Roman" w:hAnsi="Times New Roman" w:cs="Times New Roman"/>
          <w:sz w:val="24"/>
          <w:szCs w:val="24"/>
          <w:lang w:val="en-US"/>
        </w:rPr>
      </w:pPr>
      <w:r w:rsidRPr="00D53A7A">
        <w:rPr>
          <w:rStyle w:val="go"/>
          <w:rFonts w:ascii="Times New Roman" w:hAnsi="Times New Roman" w:cs="Times New Roman"/>
          <w:sz w:val="24"/>
          <w:szCs w:val="24"/>
          <w:lang w:val="en-US"/>
        </w:rPr>
        <w:t xml:space="preserve">Tel: (85) 3103.0334 / (85) </w:t>
      </w:r>
      <w:r w:rsidR="00B4588E">
        <w:rPr>
          <w:rStyle w:val="go"/>
          <w:rFonts w:ascii="Times New Roman" w:hAnsi="Times New Roman" w:cs="Times New Roman"/>
          <w:sz w:val="24"/>
          <w:szCs w:val="24"/>
          <w:lang w:val="en-US"/>
        </w:rPr>
        <w:t>9</w:t>
      </w:r>
      <w:r w:rsidRPr="00D53A7A">
        <w:rPr>
          <w:rStyle w:val="go"/>
          <w:rFonts w:ascii="Times New Roman" w:hAnsi="Times New Roman" w:cs="Times New Roman"/>
          <w:sz w:val="24"/>
          <w:szCs w:val="24"/>
          <w:lang w:val="en-US"/>
        </w:rPr>
        <w:t>9922.5626</w:t>
      </w:r>
    </w:p>
    <w:p w:rsidR="002275DA" w:rsidRPr="00D53A7A" w:rsidRDefault="002275DA" w:rsidP="00D53A7A">
      <w:pPr>
        <w:autoSpaceDE w:val="0"/>
        <w:autoSpaceDN w:val="0"/>
        <w:adjustRightInd w:val="0"/>
        <w:spacing w:after="0" w:line="480" w:lineRule="auto"/>
        <w:rPr>
          <w:rFonts w:ascii="Times New Roman" w:hAnsi="Times New Roman" w:cs="Times New Roman"/>
          <w:sz w:val="24"/>
          <w:szCs w:val="24"/>
        </w:rPr>
      </w:pPr>
      <w:r w:rsidRPr="0021244C">
        <w:rPr>
          <w:rFonts w:ascii="Times New Roman" w:hAnsi="Times New Roman" w:cs="Times New Roman"/>
          <w:sz w:val="24"/>
          <w:szCs w:val="24"/>
        </w:rPr>
        <w:t xml:space="preserve">Endereço: Av. </w:t>
      </w:r>
      <w:r w:rsidR="00B9494B">
        <w:rPr>
          <w:rFonts w:ascii="Times New Roman" w:hAnsi="Times New Roman" w:cs="Times New Roman"/>
          <w:sz w:val="24"/>
          <w:szCs w:val="24"/>
        </w:rPr>
        <w:t>Abolição, 3049 apto 601</w:t>
      </w:r>
      <w:r w:rsidRPr="00D53A7A">
        <w:rPr>
          <w:rFonts w:ascii="Times New Roman" w:hAnsi="Times New Roman" w:cs="Times New Roman"/>
          <w:sz w:val="24"/>
          <w:szCs w:val="24"/>
        </w:rPr>
        <w:t>, Bairro Meireles, Fortaleza - Ceará; CEP: 60165-</w:t>
      </w:r>
      <w:proofErr w:type="gramStart"/>
      <w:r w:rsidRPr="00D53A7A">
        <w:rPr>
          <w:rFonts w:ascii="Times New Roman" w:hAnsi="Times New Roman" w:cs="Times New Roman"/>
          <w:sz w:val="24"/>
          <w:szCs w:val="24"/>
        </w:rPr>
        <w:t>081</w:t>
      </w:r>
      <w:proofErr w:type="gramEnd"/>
    </w:p>
    <w:p w:rsidR="002275DA" w:rsidRPr="00D53A7A" w:rsidRDefault="002275DA" w:rsidP="00D53A7A">
      <w:pPr>
        <w:spacing w:line="480" w:lineRule="auto"/>
        <w:rPr>
          <w:rFonts w:ascii="Times New Roman" w:hAnsi="Times New Roman" w:cs="Times New Roman"/>
          <w:b/>
          <w:sz w:val="24"/>
          <w:szCs w:val="24"/>
        </w:rPr>
      </w:pPr>
    </w:p>
    <w:p w:rsidR="002275DA" w:rsidRPr="00D53A7A" w:rsidRDefault="002275DA" w:rsidP="00D53A7A">
      <w:pPr>
        <w:spacing w:line="480" w:lineRule="auto"/>
        <w:rPr>
          <w:rFonts w:ascii="Times New Roman" w:hAnsi="Times New Roman" w:cs="Times New Roman"/>
          <w:sz w:val="24"/>
          <w:szCs w:val="24"/>
        </w:rPr>
      </w:pPr>
      <w:r w:rsidRPr="00D53A7A">
        <w:rPr>
          <w:rFonts w:ascii="Times New Roman" w:hAnsi="Times New Roman" w:cs="Times New Roman"/>
          <w:b/>
          <w:sz w:val="24"/>
          <w:szCs w:val="24"/>
        </w:rPr>
        <w:t xml:space="preserve">Título resumido: </w:t>
      </w:r>
      <w:r w:rsidRPr="00D53A7A">
        <w:rPr>
          <w:rFonts w:ascii="Times New Roman" w:hAnsi="Times New Roman" w:cs="Times New Roman"/>
          <w:sz w:val="24"/>
          <w:szCs w:val="24"/>
        </w:rPr>
        <w:t>B</w:t>
      </w:r>
      <w:r w:rsidRPr="00D53A7A">
        <w:rPr>
          <w:rFonts w:ascii="Times New Roman" w:hAnsi="Times New Roman" w:cs="Times New Roman"/>
          <w:bCs/>
          <w:sz w:val="24"/>
          <w:szCs w:val="24"/>
        </w:rPr>
        <w:t>iológicos em artrite reumatoide no HUWC</w:t>
      </w:r>
    </w:p>
    <w:p w:rsidR="002275DA" w:rsidRDefault="002275DA" w:rsidP="00D53A7A">
      <w:pPr>
        <w:tabs>
          <w:tab w:val="left" w:pos="3329"/>
        </w:tabs>
        <w:spacing w:line="480" w:lineRule="auto"/>
        <w:rPr>
          <w:rFonts w:ascii="Times New Roman" w:hAnsi="Times New Roman" w:cs="Times New Roman"/>
          <w:b/>
          <w:sz w:val="24"/>
          <w:szCs w:val="24"/>
          <w:lang w:val="de-DE"/>
        </w:rPr>
      </w:pPr>
      <w:r w:rsidRPr="00D53A7A">
        <w:rPr>
          <w:rFonts w:ascii="Times New Roman" w:hAnsi="Times New Roman" w:cs="Times New Roman"/>
          <w:b/>
          <w:sz w:val="24"/>
          <w:szCs w:val="24"/>
          <w:lang w:val="de-DE"/>
        </w:rPr>
        <w:lastRenderedPageBreak/>
        <w:t xml:space="preserve">Resumo </w:t>
      </w:r>
    </w:p>
    <w:p w:rsidR="004003AD" w:rsidRPr="00D53A7A" w:rsidRDefault="002873FB" w:rsidP="002873FB">
      <w:pPr>
        <w:tabs>
          <w:tab w:val="left" w:pos="3329"/>
        </w:tabs>
        <w:spacing w:line="480" w:lineRule="auto"/>
        <w:rPr>
          <w:rFonts w:ascii="Times New Roman" w:hAnsi="Times New Roman" w:cs="Times New Roman"/>
          <w:sz w:val="24"/>
          <w:szCs w:val="24"/>
        </w:rPr>
      </w:pPr>
      <w:r>
        <w:rPr>
          <w:rFonts w:ascii="Times New Roman" w:hAnsi="Times New Roman" w:cs="Times New Roman"/>
          <w:sz w:val="24"/>
          <w:szCs w:val="24"/>
          <w:lang w:val="de-DE"/>
        </w:rPr>
        <w:t>O tratamento da artrite reumatoide</w:t>
      </w:r>
      <w:r w:rsidR="004003A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(AR) </w:t>
      </w:r>
      <w:r w:rsidR="004003AD">
        <w:rPr>
          <w:rFonts w:ascii="Times New Roman" w:hAnsi="Times New Roman" w:cs="Times New Roman"/>
          <w:sz w:val="24"/>
          <w:szCs w:val="24"/>
          <w:lang w:val="de-DE"/>
        </w:rPr>
        <w:t xml:space="preserve">visa prevenir dano articular irreversível e </w:t>
      </w:r>
      <w:r w:rsidR="00573AA0">
        <w:rPr>
          <w:rFonts w:ascii="Times New Roman" w:hAnsi="Times New Roman" w:cs="Times New Roman"/>
          <w:sz w:val="24"/>
          <w:szCs w:val="24"/>
          <w:lang w:val="de-DE"/>
        </w:rPr>
        <w:t xml:space="preserve">inclui </w:t>
      </w:r>
      <w:r w:rsidR="004003AD">
        <w:rPr>
          <w:rFonts w:ascii="Times New Roman" w:hAnsi="Times New Roman" w:cs="Times New Roman"/>
          <w:sz w:val="24"/>
          <w:szCs w:val="24"/>
          <w:lang w:val="de-DE"/>
        </w:rPr>
        <w:t xml:space="preserve">o uso de </w:t>
      </w:r>
      <w:r w:rsidR="00573AA0">
        <w:rPr>
          <w:rFonts w:ascii="Times New Roman" w:hAnsi="Times New Roman" w:cs="Times New Roman"/>
          <w:sz w:val="24"/>
          <w:szCs w:val="24"/>
          <w:lang w:val="de-DE"/>
        </w:rPr>
        <w:t>drogas sintéticas e biol</w:t>
      </w:r>
      <w:r w:rsidR="00573AA0" w:rsidRPr="00573AA0">
        <w:rPr>
          <w:rFonts w:ascii="Times New Roman" w:hAnsi="Times New Roman" w:cs="Times New Roman"/>
          <w:sz w:val="24"/>
          <w:szCs w:val="24"/>
        </w:rPr>
        <w:t>ó</w:t>
      </w:r>
      <w:r w:rsidR="00573AA0">
        <w:rPr>
          <w:rFonts w:ascii="Times New Roman" w:hAnsi="Times New Roman" w:cs="Times New Roman"/>
          <w:sz w:val="24"/>
          <w:szCs w:val="24"/>
        </w:rPr>
        <w:t>gicas.</w:t>
      </w:r>
      <w:r w:rsidR="004003AD">
        <w:rPr>
          <w:rFonts w:ascii="Times New Roman" w:hAnsi="Times New Roman" w:cs="Times New Roman"/>
          <w:sz w:val="24"/>
          <w:szCs w:val="24"/>
        </w:rPr>
        <w:t xml:space="preserve"> O objetivo </w:t>
      </w:r>
      <w:r w:rsidR="004003AD" w:rsidRPr="00D53A7A">
        <w:rPr>
          <w:rFonts w:ascii="Times New Roman" w:hAnsi="Times New Roman" w:cs="Times New Roman"/>
          <w:sz w:val="24"/>
          <w:szCs w:val="24"/>
        </w:rPr>
        <w:t xml:space="preserve">deste estudo foi avaliar o perfil do uso de imunobiológicos na artrite reumatoide, </w:t>
      </w:r>
      <w:r>
        <w:rPr>
          <w:rFonts w:ascii="Times New Roman" w:hAnsi="Times New Roman" w:cs="Times New Roman"/>
          <w:sz w:val="24"/>
          <w:szCs w:val="24"/>
        </w:rPr>
        <w:t>no</w:t>
      </w:r>
      <w:r w:rsidR="004003AD" w:rsidRPr="00D53A7A">
        <w:rPr>
          <w:rFonts w:ascii="Times New Roman" w:hAnsi="Times New Roman" w:cs="Times New Roman"/>
          <w:sz w:val="24"/>
          <w:szCs w:val="24"/>
        </w:rPr>
        <w:t xml:space="preserve"> </w:t>
      </w:r>
      <w:r>
        <w:rPr>
          <w:rFonts w:ascii="Times New Roman" w:hAnsi="Times New Roman" w:cs="Times New Roman"/>
          <w:sz w:val="24"/>
          <w:szCs w:val="24"/>
        </w:rPr>
        <w:t>serviço de reumatologia do HUWC</w:t>
      </w:r>
      <w:r w:rsidR="004003AD">
        <w:rPr>
          <w:rFonts w:ascii="Times New Roman" w:hAnsi="Times New Roman" w:cs="Times New Roman"/>
          <w:sz w:val="24"/>
          <w:szCs w:val="24"/>
        </w:rPr>
        <w:t>.</w:t>
      </w:r>
      <w:r w:rsidR="004003AD">
        <w:rPr>
          <w:rFonts w:ascii="Times New Roman" w:hAnsi="Times New Roman" w:cs="Times New Roman"/>
          <w:b/>
          <w:sz w:val="24"/>
          <w:szCs w:val="24"/>
          <w:lang w:val="de-DE"/>
        </w:rPr>
        <w:t xml:space="preserve"> </w:t>
      </w:r>
      <w:r w:rsidR="004003AD">
        <w:rPr>
          <w:rFonts w:ascii="Times New Roman" w:hAnsi="Times New Roman" w:cs="Times New Roman"/>
          <w:sz w:val="24"/>
          <w:szCs w:val="24"/>
          <w:lang w:val="de-DE"/>
        </w:rPr>
        <w:t xml:space="preserve">Este estudo observacional, retrospectivo e transversal, identificou 131 pacientes com </w:t>
      </w:r>
      <w:r>
        <w:rPr>
          <w:rFonts w:ascii="Times New Roman" w:hAnsi="Times New Roman" w:cs="Times New Roman"/>
          <w:sz w:val="24"/>
          <w:szCs w:val="24"/>
          <w:lang w:val="de-DE"/>
        </w:rPr>
        <w:t>AR</w:t>
      </w:r>
      <w:r w:rsidR="004003AD">
        <w:rPr>
          <w:rFonts w:ascii="Times New Roman" w:hAnsi="Times New Roman" w:cs="Times New Roman"/>
          <w:sz w:val="24"/>
          <w:szCs w:val="24"/>
          <w:lang w:val="de-DE"/>
        </w:rPr>
        <w:t>, em uso atual ou nos últimos 5 anos de agentes biológicos. Foram coletados, em entrevista e revisão de prontuário, dados demográficos</w:t>
      </w:r>
      <w:r>
        <w:rPr>
          <w:rFonts w:ascii="Times New Roman" w:hAnsi="Times New Roman" w:cs="Times New Roman"/>
          <w:sz w:val="24"/>
          <w:szCs w:val="24"/>
          <w:lang w:val="de-DE"/>
        </w:rPr>
        <w:t>,</w:t>
      </w:r>
      <w:r w:rsidR="004003AD">
        <w:rPr>
          <w:rFonts w:ascii="Times New Roman" w:hAnsi="Times New Roman" w:cs="Times New Roman"/>
          <w:sz w:val="24"/>
          <w:szCs w:val="24"/>
          <w:lang w:val="de-DE"/>
        </w:rPr>
        <w:t xml:space="preserve"> clínicos e </w:t>
      </w:r>
      <w:r>
        <w:rPr>
          <w:rFonts w:ascii="Times New Roman" w:hAnsi="Times New Roman" w:cs="Times New Roman"/>
          <w:sz w:val="24"/>
          <w:szCs w:val="24"/>
          <w:lang w:val="de-DE"/>
        </w:rPr>
        <w:t>terapêuticos</w:t>
      </w:r>
      <w:r w:rsidR="004003AD">
        <w:rPr>
          <w:rFonts w:ascii="Times New Roman" w:hAnsi="Times New Roman" w:cs="Times New Roman"/>
          <w:sz w:val="24"/>
          <w:szCs w:val="24"/>
          <w:lang w:val="de-DE"/>
        </w:rPr>
        <w:t>, incluindo a presença de eventos adversos e infecções relacionadas às drogas prescritas.</w:t>
      </w:r>
      <w:r>
        <w:rPr>
          <w:rFonts w:ascii="Times New Roman" w:hAnsi="Times New Roman" w:cs="Times New Roman"/>
          <w:sz w:val="24"/>
          <w:szCs w:val="24"/>
          <w:lang w:val="de-DE"/>
        </w:rPr>
        <w:t xml:space="preserve"> Nossa amostra se constituiu de subgrupo de pacientes com doença grave e baixo nível socioeconômico.</w:t>
      </w:r>
      <w:r w:rsidR="004003AD">
        <w:rPr>
          <w:rFonts w:ascii="Times New Roman" w:hAnsi="Times New Roman" w:cs="Times New Roman"/>
          <w:sz w:val="24"/>
          <w:szCs w:val="24"/>
          <w:lang w:val="de-DE"/>
        </w:rPr>
        <w:t xml:space="preserve"> </w:t>
      </w:r>
      <w:r>
        <w:rPr>
          <w:rFonts w:ascii="Times New Roman" w:hAnsi="Times New Roman" w:cs="Times New Roman"/>
          <w:sz w:val="24"/>
          <w:szCs w:val="24"/>
          <w:lang w:val="de-DE"/>
        </w:rPr>
        <w:t>Os imunobiológicos mais utilizados foram os anti</w:t>
      </w:r>
      <w:r w:rsidR="00B4588E">
        <w:rPr>
          <w:rFonts w:ascii="Times New Roman" w:hAnsi="Times New Roman" w:cs="Times New Roman"/>
          <w:sz w:val="24"/>
          <w:szCs w:val="24"/>
          <w:lang w:val="de-DE"/>
        </w:rPr>
        <w:t>-</w:t>
      </w:r>
      <w:r>
        <w:rPr>
          <w:rFonts w:ascii="Times New Roman" w:hAnsi="Times New Roman" w:cs="Times New Roman"/>
          <w:sz w:val="24"/>
          <w:szCs w:val="24"/>
          <w:lang w:val="de-DE"/>
        </w:rPr>
        <w:t xml:space="preserve">TNF. Cerca de metade dos pacientes apresentou screening positivo para TB latente. </w:t>
      </w:r>
      <w:r w:rsidR="004003AD" w:rsidRPr="00D53A7A">
        <w:rPr>
          <w:rFonts w:ascii="Times New Roman" w:hAnsi="Times New Roman" w:cs="Times New Roman"/>
          <w:sz w:val="24"/>
          <w:szCs w:val="24"/>
        </w:rPr>
        <w:t>O perfil de uso dos agentes biológicos no tratamento dos pacientes com diagnóstico de AR encontra-se em concordância com as recomendações clí</w:t>
      </w:r>
      <w:r>
        <w:rPr>
          <w:rFonts w:ascii="Times New Roman" w:hAnsi="Times New Roman" w:cs="Times New Roman"/>
          <w:sz w:val="24"/>
          <w:szCs w:val="24"/>
        </w:rPr>
        <w:t>nicas vigentes</w:t>
      </w:r>
      <w:r w:rsidR="004003AD" w:rsidRPr="00D53A7A">
        <w:rPr>
          <w:rFonts w:ascii="Times New Roman" w:hAnsi="Times New Roman" w:cs="Times New Roman"/>
          <w:sz w:val="24"/>
          <w:szCs w:val="24"/>
        </w:rPr>
        <w:t>.</w:t>
      </w:r>
    </w:p>
    <w:p w:rsidR="002275DA" w:rsidRPr="004003AD" w:rsidRDefault="002275DA" w:rsidP="00D53A7A">
      <w:pPr>
        <w:tabs>
          <w:tab w:val="left" w:pos="3329"/>
        </w:tabs>
        <w:spacing w:line="480" w:lineRule="auto"/>
        <w:rPr>
          <w:rFonts w:ascii="Times New Roman" w:hAnsi="Times New Roman" w:cs="Times New Roman"/>
          <w:b/>
          <w:sz w:val="24"/>
          <w:szCs w:val="24"/>
        </w:rPr>
      </w:pPr>
    </w:p>
    <w:p w:rsidR="000E3FA4" w:rsidRDefault="00B75126" w:rsidP="00B75126">
      <w:pPr>
        <w:tabs>
          <w:tab w:val="left" w:pos="3329"/>
        </w:tabs>
        <w:spacing w:line="480" w:lineRule="auto"/>
        <w:rPr>
          <w:rFonts w:ascii="Times New Roman" w:hAnsi="Times New Roman" w:cs="Times New Roman"/>
          <w:sz w:val="24"/>
          <w:szCs w:val="24"/>
        </w:rPr>
      </w:pPr>
      <w:r w:rsidRPr="00D53A7A">
        <w:rPr>
          <w:rFonts w:ascii="Times New Roman" w:hAnsi="Times New Roman" w:cs="Times New Roman"/>
          <w:b/>
          <w:sz w:val="24"/>
          <w:szCs w:val="24"/>
          <w:lang w:val="de-DE"/>
        </w:rPr>
        <w:t>Palavras Chave</w:t>
      </w:r>
      <w:r w:rsidRPr="00D53A7A">
        <w:rPr>
          <w:rFonts w:ascii="Times New Roman" w:hAnsi="Times New Roman" w:cs="Times New Roman"/>
          <w:sz w:val="24"/>
          <w:szCs w:val="24"/>
          <w:lang w:val="de-DE"/>
        </w:rPr>
        <w:t xml:space="preserve">: </w:t>
      </w:r>
      <w:r w:rsidR="00DE79D6">
        <w:rPr>
          <w:rFonts w:ascii="Times New Roman" w:hAnsi="Times New Roman" w:cs="Times New Roman"/>
          <w:sz w:val="24"/>
          <w:szCs w:val="24"/>
        </w:rPr>
        <w:t xml:space="preserve">artrite reumatoide, </w:t>
      </w:r>
      <w:r w:rsidR="000E3FA4">
        <w:rPr>
          <w:rFonts w:ascii="Times New Roman" w:hAnsi="Times New Roman" w:cs="Times New Roman"/>
          <w:sz w:val="24"/>
          <w:szCs w:val="24"/>
        </w:rPr>
        <w:t>terapêutica, agentes antirreumáticos</w:t>
      </w:r>
      <w:r w:rsidR="003202E4">
        <w:rPr>
          <w:rFonts w:ascii="Times New Roman" w:hAnsi="Times New Roman" w:cs="Times New Roman"/>
          <w:sz w:val="24"/>
          <w:szCs w:val="24"/>
        </w:rPr>
        <w:t>, terapia biológica, tuberculose latente</w:t>
      </w:r>
    </w:p>
    <w:p w:rsidR="004003AD" w:rsidRPr="00D53A7A" w:rsidRDefault="004003AD" w:rsidP="00D53A7A">
      <w:pPr>
        <w:tabs>
          <w:tab w:val="left" w:pos="3329"/>
        </w:tabs>
        <w:spacing w:line="480" w:lineRule="auto"/>
        <w:rPr>
          <w:rFonts w:ascii="Times New Roman" w:hAnsi="Times New Roman" w:cs="Times New Roman"/>
          <w:b/>
          <w:sz w:val="24"/>
          <w:szCs w:val="24"/>
          <w:lang w:val="de-DE"/>
        </w:rPr>
      </w:pPr>
    </w:p>
    <w:p w:rsidR="002275DA" w:rsidRPr="00D53A7A" w:rsidRDefault="002275DA" w:rsidP="00D53A7A">
      <w:pPr>
        <w:tabs>
          <w:tab w:val="left" w:pos="3329"/>
        </w:tabs>
        <w:spacing w:line="480" w:lineRule="auto"/>
        <w:rPr>
          <w:rFonts w:ascii="Times New Roman" w:hAnsi="Times New Roman" w:cs="Times New Roman"/>
          <w:b/>
          <w:sz w:val="24"/>
          <w:szCs w:val="24"/>
          <w:lang w:val="de-DE"/>
        </w:rPr>
      </w:pPr>
    </w:p>
    <w:p w:rsidR="002275DA" w:rsidRPr="00D53A7A" w:rsidRDefault="002275DA" w:rsidP="00D53A7A">
      <w:pPr>
        <w:tabs>
          <w:tab w:val="left" w:pos="3329"/>
        </w:tabs>
        <w:spacing w:line="480" w:lineRule="auto"/>
        <w:rPr>
          <w:rFonts w:ascii="Times New Roman" w:hAnsi="Times New Roman" w:cs="Times New Roman"/>
          <w:b/>
          <w:sz w:val="24"/>
          <w:szCs w:val="24"/>
          <w:lang w:val="de-DE"/>
        </w:rPr>
      </w:pPr>
    </w:p>
    <w:p w:rsidR="002275DA" w:rsidRPr="00D53A7A" w:rsidRDefault="002275DA" w:rsidP="00D53A7A">
      <w:pPr>
        <w:tabs>
          <w:tab w:val="left" w:pos="3329"/>
        </w:tabs>
        <w:spacing w:line="480" w:lineRule="auto"/>
        <w:rPr>
          <w:rFonts w:ascii="Times New Roman" w:hAnsi="Times New Roman" w:cs="Times New Roman"/>
          <w:b/>
          <w:sz w:val="24"/>
          <w:szCs w:val="24"/>
          <w:lang w:val="de-DE"/>
        </w:rPr>
      </w:pPr>
    </w:p>
    <w:p w:rsidR="002275DA" w:rsidRPr="00D53A7A" w:rsidRDefault="002275DA" w:rsidP="00D53A7A">
      <w:pPr>
        <w:tabs>
          <w:tab w:val="left" w:pos="3329"/>
        </w:tabs>
        <w:spacing w:line="480" w:lineRule="auto"/>
        <w:rPr>
          <w:rFonts w:ascii="Times New Roman" w:hAnsi="Times New Roman" w:cs="Times New Roman"/>
          <w:b/>
          <w:sz w:val="24"/>
          <w:szCs w:val="24"/>
          <w:lang w:val="de-DE"/>
        </w:rPr>
      </w:pPr>
    </w:p>
    <w:p w:rsidR="002275DA" w:rsidRPr="00D53A7A" w:rsidRDefault="002275DA" w:rsidP="00D53A7A">
      <w:pPr>
        <w:tabs>
          <w:tab w:val="left" w:pos="3329"/>
        </w:tabs>
        <w:spacing w:line="480" w:lineRule="auto"/>
        <w:rPr>
          <w:rFonts w:ascii="Times New Roman" w:hAnsi="Times New Roman" w:cs="Times New Roman"/>
          <w:b/>
          <w:sz w:val="24"/>
          <w:szCs w:val="24"/>
          <w:lang w:val="de-DE"/>
        </w:rPr>
      </w:pPr>
    </w:p>
    <w:p w:rsidR="002275DA" w:rsidRPr="00D53A7A" w:rsidRDefault="002275DA" w:rsidP="00D53A7A">
      <w:pPr>
        <w:tabs>
          <w:tab w:val="left" w:pos="3329"/>
        </w:tabs>
        <w:spacing w:line="480" w:lineRule="auto"/>
        <w:rPr>
          <w:rFonts w:ascii="Times New Roman" w:hAnsi="Times New Roman" w:cs="Times New Roman"/>
          <w:sz w:val="24"/>
          <w:szCs w:val="24"/>
          <w:lang w:val="de-DE"/>
        </w:rPr>
      </w:pPr>
      <w:r w:rsidRPr="00D53A7A">
        <w:rPr>
          <w:rFonts w:ascii="Times New Roman" w:hAnsi="Times New Roman" w:cs="Times New Roman"/>
          <w:b/>
          <w:sz w:val="24"/>
          <w:szCs w:val="24"/>
          <w:lang w:val="de-DE"/>
        </w:rPr>
        <w:lastRenderedPageBreak/>
        <w:t>Abstract</w:t>
      </w:r>
    </w:p>
    <w:p w:rsidR="002275DA" w:rsidRPr="00D53A7A" w:rsidRDefault="002873FB" w:rsidP="00D53A7A">
      <w:pPr>
        <w:tabs>
          <w:tab w:val="left" w:pos="3329"/>
        </w:tabs>
        <w:spacing w:line="480" w:lineRule="auto"/>
        <w:rPr>
          <w:rFonts w:ascii="Times New Roman" w:hAnsi="Times New Roman" w:cs="Times New Roman"/>
          <w:sz w:val="24"/>
          <w:szCs w:val="24"/>
          <w:lang w:val="de-DE"/>
        </w:rPr>
      </w:pPr>
      <w:r>
        <w:rPr>
          <w:rFonts w:ascii="Times New Roman" w:hAnsi="Times New Roman" w:cs="Times New Roman"/>
          <w:sz w:val="24"/>
          <w:szCs w:val="24"/>
          <w:lang w:val="de-DE"/>
        </w:rPr>
        <w:t>Rheumatoid arthritis (</w:t>
      </w:r>
      <w:r w:rsidR="00B75126">
        <w:rPr>
          <w:rFonts w:ascii="Times New Roman" w:hAnsi="Times New Roman" w:cs="Times New Roman"/>
          <w:sz w:val="24"/>
          <w:szCs w:val="24"/>
          <w:lang w:val="de-DE"/>
        </w:rPr>
        <w:t>R</w:t>
      </w:r>
      <w:r w:rsidRPr="002873FB">
        <w:rPr>
          <w:rFonts w:ascii="Times New Roman" w:hAnsi="Times New Roman" w:cs="Times New Roman"/>
          <w:sz w:val="24"/>
          <w:szCs w:val="24"/>
          <w:lang w:val="de-DE"/>
        </w:rPr>
        <w:t>A)</w:t>
      </w:r>
      <w:r>
        <w:rPr>
          <w:rFonts w:ascii="Times New Roman" w:hAnsi="Times New Roman" w:cs="Times New Roman"/>
          <w:sz w:val="24"/>
          <w:szCs w:val="24"/>
          <w:lang w:val="de-DE"/>
        </w:rPr>
        <w:t xml:space="preserve"> treatement</w:t>
      </w:r>
      <w:r w:rsidRPr="002873FB">
        <w:rPr>
          <w:rFonts w:ascii="Times New Roman" w:hAnsi="Times New Roman" w:cs="Times New Roman"/>
          <w:sz w:val="24"/>
          <w:szCs w:val="24"/>
          <w:lang w:val="de-DE"/>
        </w:rPr>
        <w:t xml:space="preserve"> is intended to prevent irreversible joint damage and includes the use of synthetic a</w:t>
      </w:r>
      <w:r w:rsidR="00B75126">
        <w:rPr>
          <w:rFonts w:ascii="Times New Roman" w:hAnsi="Times New Roman" w:cs="Times New Roman"/>
          <w:sz w:val="24"/>
          <w:szCs w:val="24"/>
          <w:lang w:val="de-DE"/>
        </w:rPr>
        <w:t>nd biologic drugs. The aim</w:t>
      </w:r>
      <w:r w:rsidRPr="002873FB">
        <w:rPr>
          <w:rFonts w:ascii="Times New Roman" w:hAnsi="Times New Roman" w:cs="Times New Roman"/>
          <w:sz w:val="24"/>
          <w:szCs w:val="24"/>
          <w:lang w:val="de-DE"/>
        </w:rPr>
        <w:t xml:space="preserve"> of this study was to eva</w:t>
      </w:r>
      <w:r>
        <w:rPr>
          <w:rFonts w:ascii="Times New Roman" w:hAnsi="Times New Roman" w:cs="Times New Roman"/>
          <w:sz w:val="24"/>
          <w:szCs w:val="24"/>
          <w:lang w:val="de-DE"/>
        </w:rPr>
        <w:t xml:space="preserve">luate the profile of </w:t>
      </w:r>
      <w:r w:rsidR="00B75126">
        <w:rPr>
          <w:rFonts w:ascii="Times New Roman" w:hAnsi="Times New Roman" w:cs="Times New Roman"/>
          <w:sz w:val="24"/>
          <w:szCs w:val="24"/>
          <w:lang w:val="de-DE"/>
        </w:rPr>
        <w:t>biologic agents</w:t>
      </w:r>
      <w:r>
        <w:rPr>
          <w:rFonts w:ascii="Times New Roman" w:hAnsi="Times New Roman" w:cs="Times New Roman"/>
          <w:sz w:val="24"/>
          <w:szCs w:val="24"/>
          <w:lang w:val="de-DE"/>
        </w:rPr>
        <w:t xml:space="preserve"> use</w:t>
      </w:r>
      <w:r w:rsidRPr="002873FB">
        <w:rPr>
          <w:rFonts w:ascii="Times New Roman" w:hAnsi="Times New Roman" w:cs="Times New Roman"/>
          <w:sz w:val="24"/>
          <w:szCs w:val="24"/>
          <w:lang w:val="de-DE"/>
        </w:rPr>
        <w:t xml:space="preserve"> in rheumatoid arthritis</w:t>
      </w:r>
      <w:r w:rsidR="00B75126">
        <w:rPr>
          <w:rFonts w:ascii="Times New Roman" w:hAnsi="Times New Roman" w:cs="Times New Roman"/>
          <w:sz w:val="24"/>
          <w:szCs w:val="24"/>
          <w:lang w:val="de-DE"/>
        </w:rPr>
        <w:t xml:space="preserve"> in a single brasilian cent</w:t>
      </w:r>
      <w:r>
        <w:rPr>
          <w:rFonts w:ascii="Times New Roman" w:hAnsi="Times New Roman" w:cs="Times New Roman"/>
          <w:sz w:val="24"/>
          <w:szCs w:val="24"/>
          <w:lang w:val="de-DE"/>
        </w:rPr>
        <w:t>e</w:t>
      </w:r>
      <w:r w:rsidR="00B75126">
        <w:rPr>
          <w:rFonts w:ascii="Times New Roman" w:hAnsi="Times New Roman" w:cs="Times New Roman"/>
          <w:sz w:val="24"/>
          <w:szCs w:val="24"/>
          <w:lang w:val="de-DE"/>
        </w:rPr>
        <w:t>r of rheumathology</w:t>
      </w:r>
      <w:r w:rsidRPr="002873FB">
        <w:rPr>
          <w:rFonts w:ascii="Times New Roman" w:hAnsi="Times New Roman" w:cs="Times New Roman"/>
          <w:sz w:val="24"/>
          <w:szCs w:val="24"/>
          <w:lang w:val="de-DE"/>
        </w:rPr>
        <w:t xml:space="preserve">. This observational, retrospective and cross-sectional </w:t>
      </w:r>
      <w:r>
        <w:rPr>
          <w:rFonts w:ascii="Times New Roman" w:hAnsi="Times New Roman" w:cs="Times New Roman"/>
          <w:sz w:val="24"/>
          <w:szCs w:val="24"/>
          <w:lang w:val="de-DE"/>
        </w:rPr>
        <w:t>study identified 131 patients with R</w:t>
      </w:r>
      <w:r w:rsidR="00B75126">
        <w:rPr>
          <w:rFonts w:ascii="Times New Roman" w:hAnsi="Times New Roman" w:cs="Times New Roman"/>
          <w:sz w:val="24"/>
          <w:szCs w:val="24"/>
          <w:lang w:val="de-DE"/>
        </w:rPr>
        <w:t>A</w:t>
      </w:r>
      <w:r>
        <w:rPr>
          <w:rFonts w:ascii="Times New Roman" w:hAnsi="Times New Roman" w:cs="Times New Roman"/>
          <w:sz w:val="24"/>
          <w:szCs w:val="24"/>
          <w:lang w:val="de-DE"/>
        </w:rPr>
        <w:t xml:space="preserve">, </w:t>
      </w:r>
      <w:r w:rsidRPr="002873FB">
        <w:rPr>
          <w:rFonts w:ascii="Times New Roman" w:hAnsi="Times New Roman" w:cs="Times New Roman"/>
          <w:sz w:val="24"/>
          <w:szCs w:val="24"/>
          <w:lang w:val="de-DE"/>
        </w:rPr>
        <w:t xml:space="preserve"> in actual </w:t>
      </w:r>
      <w:r>
        <w:rPr>
          <w:rFonts w:ascii="Times New Roman" w:hAnsi="Times New Roman" w:cs="Times New Roman"/>
          <w:sz w:val="24"/>
          <w:szCs w:val="24"/>
          <w:lang w:val="de-DE"/>
        </w:rPr>
        <w:t xml:space="preserve">or previous </w:t>
      </w:r>
      <w:r w:rsidRPr="002873FB">
        <w:rPr>
          <w:rFonts w:ascii="Times New Roman" w:hAnsi="Times New Roman" w:cs="Times New Roman"/>
          <w:sz w:val="24"/>
          <w:szCs w:val="24"/>
          <w:lang w:val="de-DE"/>
        </w:rPr>
        <w:t>use in t</w:t>
      </w:r>
      <w:r w:rsidR="00B75126">
        <w:rPr>
          <w:rFonts w:ascii="Times New Roman" w:hAnsi="Times New Roman" w:cs="Times New Roman"/>
          <w:sz w:val="24"/>
          <w:szCs w:val="24"/>
          <w:lang w:val="de-DE"/>
        </w:rPr>
        <w:t>he last five years of biologic</w:t>
      </w:r>
      <w:r w:rsidR="00DE79D6">
        <w:rPr>
          <w:rFonts w:ascii="Times New Roman" w:hAnsi="Times New Roman" w:cs="Times New Roman"/>
          <w:sz w:val="24"/>
          <w:szCs w:val="24"/>
          <w:lang w:val="de-DE"/>
        </w:rPr>
        <w:t xml:space="preserve"> agents. There</w:t>
      </w:r>
      <w:r w:rsidRPr="002873FB">
        <w:rPr>
          <w:rFonts w:ascii="Times New Roman" w:hAnsi="Times New Roman" w:cs="Times New Roman"/>
          <w:sz w:val="24"/>
          <w:szCs w:val="24"/>
          <w:lang w:val="de-DE"/>
        </w:rPr>
        <w:t xml:space="preserve"> were collected in an interview and chart review, demographic, clinical and therapeutic data, including the presence of adverse events and infections related to prescription drugs. Our sample consisted of subgroup of patients with severe disease and low socioecono</w:t>
      </w:r>
      <w:r w:rsidR="00DE79D6">
        <w:rPr>
          <w:rFonts w:ascii="Times New Roman" w:hAnsi="Times New Roman" w:cs="Times New Roman"/>
          <w:sz w:val="24"/>
          <w:szCs w:val="24"/>
          <w:lang w:val="de-DE"/>
        </w:rPr>
        <w:t>mic status. The biologic drugs</w:t>
      </w:r>
      <w:r w:rsidRPr="002873FB">
        <w:rPr>
          <w:rFonts w:ascii="Times New Roman" w:hAnsi="Times New Roman" w:cs="Times New Roman"/>
          <w:sz w:val="24"/>
          <w:szCs w:val="24"/>
          <w:lang w:val="de-DE"/>
        </w:rPr>
        <w:t xml:space="preserve"> most used were the anti-TNF. About half of the patients had positive screening for latent TB. The usage profile of biological agents in the treatment of RA diagnosed patients is in line with current clinical recommendations.</w:t>
      </w:r>
    </w:p>
    <w:p w:rsidR="002275DA" w:rsidRPr="00D53A7A" w:rsidRDefault="002275DA" w:rsidP="00D53A7A">
      <w:pPr>
        <w:tabs>
          <w:tab w:val="left" w:pos="3329"/>
        </w:tabs>
        <w:spacing w:line="480" w:lineRule="auto"/>
        <w:rPr>
          <w:rFonts w:ascii="Times New Roman" w:hAnsi="Times New Roman" w:cs="Times New Roman"/>
          <w:sz w:val="24"/>
          <w:szCs w:val="24"/>
          <w:lang w:val="de-DE"/>
        </w:rPr>
      </w:pPr>
    </w:p>
    <w:p w:rsidR="00B4610D" w:rsidRPr="00D53A7A" w:rsidRDefault="000E3FA4" w:rsidP="00D53A7A">
      <w:pPr>
        <w:tabs>
          <w:tab w:val="left" w:pos="3329"/>
        </w:tabs>
        <w:spacing w:line="480" w:lineRule="auto"/>
        <w:rPr>
          <w:rFonts w:ascii="Times New Roman" w:hAnsi="Times New Roman" w:cs="Times New Roman"/>
          <w:sz w:val="24"/>
          <w:szCs w:val="24"/>
          <w:lang w:val="de-DE"/>
        </w:rPr>
      </w:pPr>
      <w:r w:rsidRPr="003202E4">
        <w:rPr>
          <w:rFonts w:ascii="Times New Roman" w:hAnsi="Times New Roman" w:cs="Times New Roman"/>
          <w:b/>
          <w:sz w:val="24"/>
          <w:szCs w:val="24"/>
          <w:lang w:val="de-DE"/>
        </w:rPr>
        <w:t>Keywords:</w:t>
      </w:r>
      <w:r>
        <w:rPr>
          <w:rFonts w:ascii="Times New Roman" w:hAnsi="Times New Roman" w:cs="Times New Roman"/>
          <w:sz w:val="24"/>
          <w:szCs w:val="24"/>
          <w:lang w:val="de-DE"/>
        </w:rPr>
        <w:t xml:space="preserve"> rheumatoid arthritis, therapeutics, antirheumatic agents</w:t>
      </w:r>
      <w:r w:rsidR="003202E4">
        <w:rPr>
          <w:rFonts w:ascii="Times New Roman" w:hAnsi="Times New Roman" w:cs="Times New Roman"/>
          <w:sz w:val="24"/>
          <w:szCs w:val="24"/>
          <w:lang w:val="de-DE"/>
        </w:rPr>
        <w:t>, biological therapy, latent tuberculosis</w:t>
      </w:r>
      <w:r>
        <w:rPr>
          <w:rFonts w:ascii="Times New Roman" w:hAnsi="Times New Roman" w:cs="Times New Roman"/>
          <w:sz w:val="24"/>
          <w:szCs w:val="24"/>
          <w:lang w:val="de-DE"/>
        </w:rPr>
        <w:tab/>
      </w:r>
    </w:p>
    <w:p w:rsidR="00B4610D" w:rsidRPr="00D53A7A" w:rsidRDefault="00B4610D" w:rsidP="00D53A7A">
      <w:pPr>
        <w:tabs>
          <w:tab w:val="left" w:pos="3329"/>
        </w:tabs>
        <w:spacing w:line="480" w:lineRule="auto"/>
        <w:rPr>
          <w:rFonts w:ascii="Times New Roman" w:hAnsi="Times New Roman" w:cs="Times New Roman"/>
          <w:sz w:val="24"/>
          <w:szCs w:val="24"/>
          <w:lang w:val="de-DE"/>
        </w:rPr>
      </w:pPr>
    </w:p>
    <w:p w:rsidR="00B4610D" w:rsidRPr="00D53A7A" w:rsidRDefault="00B4610D" w:rsidP="00D53A7A">
      <w:pPr>
        <w:tabs>
          <w:tab w:val="left" w:pos="3329"/>
        </w:tabs>
        <w:spacing w:line="480" w:lineRule="auto"/>
        <w:rPr>
          <w:rFonts w:ascii="Times New Roman" w:hAnsi="Times New Roman" w:cs="Times New Roman"/>
          <w:sz w:val="24"/>
          <w:szCs w:val="24"/>
          <w:lang w:val="de-DE"/>
        </w:rPr>
      </w:pPr>
    </w:p>
    <w:p w:rsidR="00B4610D" w:rsidRPr="00D53A7A" w:rsidRDefault="00B4610D" w:rsidP="00D53A7A">
      <w:pPr>
        <w:tabs>
          <w:tab w:val="left" w:pos="3329"/>
        </w:tabs>
        <w:spacing w:line="480" w:lineRule="auto"/>
        <w:rPr>
          <w:rFonts w:ascii="Times New Roman" w:hAnsi="Times New Roman" w:cs="Times New Roman"/>
          <w:sz w:val="24"/>
          <w:szCs w:val="24"/>
          <w:lang w:val="de-DE"/>
        </w:rPr>
      </w:pPr>
    </w:p>
    <w:p w:rsidR="00B4610D" w:rsidRDefault="00B4610D" w:rsidP="00D53A7A">
      <w:pPr>
        <w:tabs>
          <w:tab w:val="left" w:pos="3329"/>
        </w:tabs>
        <w:spacing w:line="480" w:lineRule="auto"/>
        <w:rPr>
          <w:rFonts w:ascii="Times New Roman" w:hAnsi="Times New Roman" w:cs="Times New Roman"/>
          <w:sz w:val="24"/>
          <w:szCs w:val="24"/>
          <w:lang w:val="de-DE"/>
        </w:rPr>
      </w:pPr>
    </w:p>
    <w:p w:rsidR="00B75126" w:rsidRDefault="00B75126" w:rsidP="00D53A7A">
      <w:pPr>
        <w:tabs>
          <w:tab w:val="left" w:pos="3329"/>
        </w:tabs>
        <w:spacing w:line="480" w:lineRule="auto"/>
        <w:rPr>
          <w:rFonts w:ascii="Times New Roman" w:hAnsi="Times New Roman" w:cs="Times New Roman"/>
          <w:sz w:val="24"/>
          <w:szCs w:val="24"/>
          <w:lang w:val="de-DE"/>
        </w:rPr>
      </w:pPr>
    </w:p>
    <w:p w:rsidR="00B75126" w:rsidRDefault="00B75126" w:rsidP="00D53A7A">
      <w:pPr>
        <w:tabs>
          <w:tab w:val="left" w:pos="3329"/>
        </w:tabs>
        <w:spacing w:line="480" w:lineRule="auto"/>
        <w:rPr>
          <w:rFonts w:ascii="Times New Roman" w:hAnsi="Times New Roman" w:cs="Times New Roman"/>
          <w:sz w:val="24"/>
          <w:szCs w:val="24"/>
          <w:lang w:val="de-DE"/>
        </w:rPr>
      </w:pPr>
    </w:p>
    <w:p w:rsidR="00B75126" w:rsidRDefault="00B75126" w:rsidP="00D53A7A">
      <w:pPr>
        <w:tabs>
          <w:tab w:val="left" w:pos="3329"/>
        </w:tabs>
        <w:spacing w:line="480" w:lineRule="auto"/>
        <w:rPr>
          <w:rFonts w:ascii="Times New Roman" w:hAnsi="Times New Roman" w:cs="Times New Roman"/>
          <w:sz w:val="24"/>
          <w:szCs w:val="24"/>
          <w:lang w:val="de-DE"/>
        </w:rPr>
      </w:pPr>
    </w:p>
    <w:p w:rsidR="00B4610D" w:rsidRPr="00D53A7A" w:rsidRDefault="00D53A7A" w:rsidP="00D53A7A">
      <w:pPr>
        <w:spacing w:line="480" w:lineRule="auto"/>
        <w:ind w:left="-284" w:right="-285"/>
        <w:rPr>
          <w:rFonts w:ascii="Times New Roman" w:hAnsi="Times New Roman" w:cs="Times New Roman"/>
          <w:b/>
          <w:sz w:val="24"/>
          <w:szCs w:val="24"/>
        </w:rPr>
      </w:pPr>
      <w:r>
        <w:rPr>
          <w:rFonts w:ascii="Times New Roman" w:hAnsi="Times New Roman" w:cs="Times New Roman"/>
          <w:b/>
          <w:sz w:val="24"/>
          <w:szCs w:val="24"/>
        </w:rPr>
        <w:lastRenderedPageBreak/>
        <w:t>I</w:t>
      </w:r>
      <w:r w:rsidR="00B4610D" w:rsidRPr="00D53A7A">
        <w:rPr>
          <w:rFonts w:ascii="Times New Roman" w:hAnsi="Times New Roman" w:cs="Times New Roman"/>
          <w:b/>
          <w:sz w:val="24"/>
          <w:szCs w:val="24"/>
        </w:rPr>
        <w:t>ntrodução</w:t>
      </w:r>
    </w:p>
    <w:p w:rsidR="00B4610D" w:rsidRPr="00D53A7A" w:rsidRDefault="00F12FFA" w:rsidP="00D53A7A">
      <w:pPr>
        <w:spacing w:line="480" w:lineRule="auto"/>
        <w:ind w:left="-284" w:right="-285"/>
        <w:rPr>
          <w:rFonts w:ascii="Times New Roman" w:hAnsi="Times New Roman" w:cs="Times New Roman"/>
          <w:sz w:val="24"/>
          <w:szCs w:val="24"/>
        </w:rPr>
      </w:pPr>
      <w:r>
        <w:rPr>
          <w:rFonts w:ascii="Times New Roman" w:hAnsi="Times New Roman" w:cs="Times New Roman"/>
          <w:sz w:val="24"/>
          <w:szCs w:val="24"/>
        </w:rPr>
        <w:tab/>
        <w:t>Artrite reumato</w:t>
      </w:r>
      <w:r w:rsidR="00B4610D" w:rsidRPr="00D53A7A">
        <w:rPr>
          <w:rFonts w:ascii="Times New Roman" w:hAnsi="Times New Roman" w:cs="Times New Roman"/>
          <w:sz w:val="24"/>
          <w:szCs w:val="24"/>
        </w:rPr>
        <w:t>ide (AR) é uma doença inflamatória crônica autoimune, caracterizada por poliartrite aditiva e simétrica com acometimento articular periférico preferencial de pequenas articulações das mãos, punhos e pés. Estima-se que sua prevalência seja de 0,5-1% da população, com predomínio no sexo feminino, entre a 4ª e 6ª décadas.</w:t>
      </w:r>
      <w:r w:rsidR="00B4610D" w:rsidRPr="00D53A7A">
        <w:rPr>
          <w:rFonts w:ascii="Times New Roman" w:hAnsi="Times New Roman" w:cs="Times New Roman"/>
          <w:sz w:val="24"/>
          <w:szCs w:val="24"/>
          <w:vertAlign w:val="superscript"/>
        </w:rPr>
        <w:t>1</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 xml:space="preserve">O manejo da artrite reumatoide baseia-se na instituição precoce de drogas modificadoras do curso da doença (DMCD) com o objetivo de controlar a atividade da doença, melhorar a qualidade de vida </w:t>
      </w:r>
      <w:r w:rsidR="000C0DD4">
        <w:rPr>
          <w:rFonts w:ascii="Times New Roman" w:hAnsi="Times New Roman" w:cs="Times New Roman"/>
          <w:sz w:val="24"/>
          <w:szCs w:val="24"/>
        </w:rPr>
        <w:t xml:space="preserve">e o desfecho funcional </w:t>
      </w:r>
      <w:r w:rsidRPr="00D53A7A">
        <w:rPr>
          <w:rFonts w:ascii="Times New Roman" w:hAnsi="Times New Roman" w:cs="Times New Roman"/>
          <w:sz w:val="24"/>
          <w:szCs w:val="24"/>
        </w:rPr>
        <w:t>do paciente, além de prevenir dano articular irreversível.</w:t>
      </w:r>
      <w:r w:rsidRPr="00D53A7A">
        <w:rPr>
          <w:rFonts w:ascii="Times New Roman" w:hAnsi="Times New Roman" w:cs="Times New Roman"/>
          <w:sz w:val="24"/>
          <w:szCs w:val="24"/>
          <w:vertAlign w:val="superscript"/>
        </w:rPr>
        <w:t>2-4</w:t>
      </w:r>
      <w:r w:rsidRPr="00D53A7A">
        <w:rPr>
          <w:rFonts w:ascii="Times New Roman" w:hAnsi="Times New Roman" w:cs="Times New Roman"/>
          <w:sz w:val="24"/>
          <w:szCs w:val="24"/>
        </w:rPr>
        <w:t xml:space="preserve"> </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Dentre as DMCD disponíveis, encontram-se as drogas sintéticas e biológicas. As DMCD sintéticas são as drogas de primeira esco</w:t>
      </w:r>
      <w:r w:rsidR="00AC0175">
        <w:rPr>
          <w:rFonts w:ascii="Times New Roman" w:hAnsi="Times New Roman" w:cs="Times New Roman"/>
          <w:sz w:val="24"/>
          <w:szCs w:val="24"/>
        </w:rPr>
        <w:t>lha na artrite reumatoide</w:t>
      </w:r>
      <w:r w:rsidRPr="00D53A7A">
        <w:rPr>
          <w:rFonts w:ascii="Times New Roman" w:hAnsi="Times New Roman" w:cs="Times New Roman"/>
          <w:sz w:val="24"/>
          <w:szCs w:val="24"/>
        </w:rPr>
        <w:t>.</w:t>
      </w:r>
      <w:r w:rsidRPr="00D53A7A">
        <w:rPr>
          <w:rFonts w:ascii="Times New Roman" w:hAnsi="Times New Roman" w:cs="Times New Roman"/>
          <w:sz w:val="24"/>
          <w:szCs w:val="24"/>
          <w:vertAlign w:val="superscript"/>
        </w:rPr>
        <w:t>1</w:t>
      </w:r>
      <w:r w:rsidRPr="00D53A7A">
        <w:rPr>
          <w:rFonts w:ascii="Times New Roman" w:hAnsi="Times New Roman" w:cs="Times New Roman"/>
          <w:sz w:val="24"/>
          <w:szCs w:val="24"/>
        </w:rPr>
        <w:t xml:space="preserve"> Estas incluem o metotrexate, a leflunomida e a sulfassalazina, além dos antimaláricos para os casos leves. </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As DMCD biológicas incluem</w:t>
      </w:r>
      <w:r w:rsidRPr="00D53A7A">
        <w:rPr>
          <w:rFonts w:ascii="Times New Roman" w:hAnsi="Times New Roman" w:cs="Times New Roman"/>
          <w:color w:val="FF0000"/>
          <w:sz w:val="24"/>
          <w:szCs w:val="24"/>
        </w:rPr>
        <w:t xml:space="preserve"> </w:t>
      </w:r>
      <w:r w:rsidRPr="00D53A7A">
        <w:rPr>
          <w:rFonts w:ascii="Times New Roman" w:hAnsi="Times New Roman" w:cs="Times New Roman"/>
          <w:sz w:val="24"/>
          <w:szCs w:val="24"/>
        </w:rPr>
        <w:t xml:space="preserve">os inibidores de TNF (adalimumabe, certolizumabe, etanercepte, golimumabe e infliximabe), o inibidor de coestimulação de linfócitos T (abatacepte), o bloqueador do receptor da IL-6 (tocilizumabe) e o depletor de linfócito B antiCD20 (rituximabe). </w:t>
      </w:r>
    </w:p>
    <w:p w:rsidR="00B4610D" w:rsidRPr="00D53A7A" w:rsidRDefault="00B4610D" w:rsidP="00D53A7A">
      <w:pPr>
        <w:spacing w:line="480" w:lineRule="auto"/>
        <w:ind w:left="-284" w:right="-285"/>
        <w:rPr>
          <w:rFonts w:ascii="Times New Roman" w:hAnsi="Times New Roman" w:cs="Times New Roman"/>
          <w:color w:val="365F91" w:themeColor="accent1" w:themeShade="BF"/>
          <w:sz w:val="24"/>
          <w:szCs w:val="24"/>
        </w:rPr>
      </w:pPr>
      <w:r w:rsidRPr="00D53A7A">
        <w:rPr>
          <w:rFonts w:ascii="Times New Roman" w:hAnsi="Times New Roman" w:cs="Times New Roman"/>
          <w:sz w:val="24"/>
          <w:szCs w:val="24"/>
        </w:rPr>
        <w:tab/>
        <w:t>Estudos sugerem que o uso de DMCD biológicas na artrite reumatoide esteja associada a aumento no risco relativo de infecções oportunista</w:t>
      </w:r>
      <w:r w:rsidR="000C0DD4">
        <w:rPr>
          <w:rFonts w:ascii="Times New Roman" w:hAnsi="Times New Roman" w:cs="Times New Roman"/>
          <w:sz w:val="24"/>
          <w:szCs w:val="24"/>
        </w:rPr>
        <w:t>s</w:t>
      </w:r>
      <w:r w:rsidRPr="00D53A7A">
        <w:rPr>
          <w:rFonts w:ascii="Times New Roman" w:hAnsi="Times New Roman" w:cs="Times New Roman"/>
          <w:sz w:val="24"/>
          <w:szCs w:val="24"/>
        </w:rPr>
        <w:t>.</w:t>
      </w:r>
      <w:r w:rsidRPr="00D53A7A">
        <w:rPr>
          <w:rFonts w:ascii="Times New Roman" w:hAnsi="Times New Roman" w:cs="Times New Roman"/>
          <w:sz w:val="24"/>
          <w:szCs w:val="24"/>
          <w:vertAlign w:val="superscript"/>
        </w:rPr>
        <w:t>5</w:t>
      </w:r>
      <w:r w:rsidRPr="00D53A7A">
        <w:rPr>
          <w:rFonts w:ascii="Times New Roman" w:hAnsi="Times New Roman" w:cs="Times New Roman"/>
          <w:sz w:val="24"/>
          <w:szCs w:val="24"/>
        </w:rPr>
        <w:t xml:space="preserve"> Neste contexto, para a instituição de terapêutica com agentes biológicos, recomenda-se o rastreio de doenças infecciosas como hepatites B e C, HIV, tuberculose e demais doenças endêmicas a depender do domicílio do paciente. A tuberculose (TB) merece destaque, visto que são descritos casos de reativação da doença na vigência do tratamento imunossupre</w:t>
      </w:r>
      <w:r w:rsidR="00D91607">
        <w:rPr>
          <w:rFonts w:ascii="Times New Roman" w:hAnsi="Times New Roman" w:cs="Times New Roman"/>
          <w:sz w:val="24"/>
          <w:szCs w:val="24"/>
        </w:rPr>
        <w:t>ssor</w:t>
      </w:r>
      <w:r w:rsidRPr="00D53A7A">
        <w:rPr>
          <w:rFonts w:ascii="Times New Roman" w:hAnsi="Times New Roman" w:cs="Times New Roman"/>
          <w:sz w:val="24"/>
          <w:szCs w:val="24"/>
        </w:rPr>
        <w:t xml:space="preserve">. Antes do início do tratamento, deve ser feito </w:t>
      </w:r>
      <w:r w:rsidRPr="00D53A7A">
        <w:rPr>
          <w:rFonts w:ascii="Times New Roman" w:hAnsi="Times New Roman" w:cs="Times New Roman"/>
          <w:i/>
          <w:sz w:val="24"/>
          <w:szCs w:val="24"/>
        </w:rPr>
        <w:t>screening</w:t>
      </w:r>
      <w:r w:rsidRPr="00D53A7A">
        <w:rPr>
          <w:rFonts w:ascii="Times New Roman" w:hAnsi="Times New Roman" w:cs="Times New Roman"/>
          <w:sz w:val="24"/>
          <w:szCs w:val="24"/>
        </w:rPr>
        <w:t xml:space="preserve"> para TB latente (LTB) com radiografia de tórax, PPD (teste tuberculínico) ou IGRA (teste de liberação de interferon gama) e investigação de contato ou TB prévios. O tratamento para LTB deve ser feito com isoniazida por 6 meses, com pelo menos 30 dias de tratamen</w:t>
      </w:r>
      <w:r w:rsidR="00A93CD5">
        <w:rPr>
          <w:rFonts w:ascii="Times New Roman" w:hAnsi="Times New Roman" w:cs="Times New Roman"/>
          <w:sz w:val="24"/>
          <w:szCs w:val="24"/>
        </w:rPr>
        <w:t>to precedendo o início do imunobiológico</w:t>
      </w:r>
      <w:r w:rsidRPr="00D53A7A">
        <w:rPr>
          <w:rFonts w:ascii="Times New Roman" w:hAnsi="Times New Roman" w:cs="Times New Roman"/>
          <w:sz w:val="24"/>
          <w:szCs w:val="24"/>
        </w:rPr>
        <w:t>.</w:t>
      </w:r>
      <w:r w:rsidRPr="00D53A7A">
        <w:rPr>
          <w:rFonts w:ascii="Times New Roman" w:hAnsi="Times New Roman" w:cs="Times New Roman"/>
          <w:sz w:val="24"/>
          <w:szCs w:val="24"/>
          <w:vertAlign w:val="superscript"/>
        </w:rPr>
        <w:t>1</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lastRenderedPageBreak/>
        <w:tab/>
        <w:t>Nos últimos anos, observam-se muitos avanços no tratamento da artrite reumatoide. Para os pacientes que não atingiram controle da doença com pelo menos dois esquemas de DMCD sintéticas, sendo um deles a combinação de duas drogas, deve-se considerar a instituição de DMCD biológicas.</w:t>
      </w:r>
      <w:r w:rsidRPr="00D53A7A">
        <w:rPr>
          <w:rFonts w:ascii="Times New Roman" w:hAnsi="Times New Roman" w:cs="Times New Roman"/>
          <w:sz w:val="24"/>
          <w:szCs w:val="24"/>
          <w:vertAlign w:val="superscript"/>
        </w:rPr>
        <w:t>1</w:t>
      </w:r>
      <w:r w:rsidRPr="00D53A7A">
        <w:rPr>
          <w:rFonts w:ascii="Times New Roman" w:hAnsi="Times New Roman" w:cs="Times New Roman"/>
          <w:sz w:val="24"/>
          <w:szCs w:val="24"/>
        </w:rPr>
        <w:t xml:space="preserve"> Em casos excepcionais, com doença grave e na presença de fatores de mau prognóstico, pode-se considerar o uso destas drogas como parte da estratégia medicamentosa inicial. A prescrição de imunobiológicos tem se tornado mais acessível com o passar do tempo. Entretanto, estes são medicamentos de alto custo e não isentos de eventos adversos. É importante, portanto, que o médico seja criterioso no momento de sua indicação, para que faça uma escolha individualizada, pesando riscos e benefícios para cada paciente, num dado contexto clínico, para que não atrase nem precipite o momento ideal para sua prescrição.  </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O objetivo principal deste estudo foi avaliar o perfil do uso de imunobiológicos na artrite reumatoide, em uma coorte de pacientes acompanhados no serviço de reumatologia do Hospital Universitário Walter Cantídio (HUWC), na Universidade Federal do Ceará (UFC).</w:t>
      </w:r>
    </w:p>
    <w:p w:rsidR="00DE79D6" w:rsidRDefault="00DE79D6" w:rsidP="00D53A7A">
      <w:pPr>
        <w:spacing w:line="480" w:lineRule="auto"/>
        <w:ind w:left="-284" w:right="-285"/>
        <w:rPr>
          <w:rFonts w:ascii="Times New Roman" w:hAnsi="Times New Roman" w:cs="Times New Roman"/>
          <w:b/>
          <w:sz w:val="24"/>
          <w:szCs w:val="24"/>
        </w:rPr>
      </w:pPr>
    </w:p>
    <w:p w:rsidR="00DE79D6" w:rsidRDefault="00DE79D6" w:rsidP="00D53A7A">
      <w:pPr>
        <w:spacing w:line="480" w:lineRule="auto"/>
        <w:ind w:left="-284" w:right="-285"/>
        <w:rPr>
          <w:rFonts w:ascii="Times New Roman" w:hAnsi="Times New Roman" w:cs="Times New Roman"/>
          <w:b/>
          <w:sz w:val="24"/>
          <w:szCs w:val="24"/>
        </w:rPr>
      </w:pPr>
    </w:p>
    <w:p w:rsidR="00DE79D6" w:rsidRDefault="00DE79D6" w:rsidP="00D53A7A">
      <w:pPr>
        <w:spacing w:line="480" w:lineRule="auto"/>
        <w:ind w:left="-284" w:right="-285"/>
        <w:rPr>
          <w:rFonts w:ascii="Times New Roman" w:hAnsi="Times New Roman" w:cs="Times New Roman"/>
          <w:b/>
          <w:sz w:val="24"/>
          <w:szCs w:val="24"/>
        </w:rPr>
      </w:pPr>
    </w:p>
    <w:p w:rsidR="00AC0175" w:rsidRDefault="00AC0175" w:rsidP="00D53A7A">
      <w:pPr>
        <w:spacing w:line="480" w:lineRule="auto"/>
        <w:ind w:left="-284" w:right="-285"/>
        <w:rPr>
          <w:rFonts w:ascii="Times New Roman" w:hAnsi="Times New Roman" w:cs="Times New Roman"/>
          <w:b/>
          <w:sz w:val="24"/>
          <w:szCs w:val="24"/>
        </w:rPr>
      </w:pPr>
    </w:p>
    <w:p w:rsidR="00DE79D6" w:rsidRDefault="00DE79D6" w:rsidP="00D53A7A">
      <w:pPr>
        <w:spacing w:line="480" w:lineRule="auto"/>
        <w:ind w:left="-284" w:right="-285"/>
        <w:rPr>
          <w:rFonts w:ascii="Times New Roman" w:hAnsi="Times New Roman" w:cs="Times New Roman"/>
          <w:b/>
          <w:sz w:val="24"/>
          <w:szCs w:val="24"/>
        </w:rPr>
      </w:pPr>
    </w:p>
    <w:p w:rsidR="000C0DD4" w:rsidRDefault="000C0DD4" w:rsidP="00D53A7A">
      <w:pPr>
        <w:spacing w:line="480" w:lineRule="auto"/>
        <w:ind w:left="-284" w:right="-285"/>
        <w:rPr>
          <w:rFonts w:ascii="Times New Roman" w:hAnsi="Times New Roman" w:cs="Times New Roman"/>
          <w:b/>
          <w:sz w:val="24"/>
          <w:szCs w:val="24"/>
        </w:rPr>
      </w:pPr>
    </w:p>
    <w:p w:rsidR="000C0DD4" w:rsidRDefault="000C0DD4" w:rsidP="00D53A7A">
      <w:pPr>
        <w:spacing w:line="480" w:lineRule="auto"/>
        <w:ind w:left="-284" w:right="-285"/>
        <w:rPr>
          <w:rFonts w:ascii="Times New Roman" w:hAnsi="Times New Roman" w:cs="Times New Roman"/>
          <w:b/>
          <w:sz w:val="24"/>
          <w:szCs w:val="24"/>
        </w:rPr>
      </w:pPr>
    </w:p>
    <w:p w:rsidR="00D91607" w:rsidRDefault="00D91607" w:rsidP="00D53A7A">
      <w:pPr>
        <w:spacing w:line="480" w:lineRule="auto"/>
        <w:ind w:left="-284" w:right="-285"/>
        <w:rPr>
          <w:rFonts w:ascii="Times New Roman" w:hAnsi="Times New Roman" w:cs="Times New Roman"/>
          <w:b/>
          <w:sz w:val="24"/>
          <w:szCs w:val="24"/>
        </w:rPr>
      </w:pPr>
    </w:p>
    <w:p w:rsidR="00DE79D6" w:rsidRDefault="00DE79D6" w:rsidP="00D53A7A">
      <w:pPr>
        <w:spacing w:line="480" w:lineRule="auto"/>
        <w:ind w:left="-284" w:right="-285"/>
        <w:rPr>
          <w:rFonts w:ascii="Times New Roman" w:hAnsi="Times New Roman" w:cs="Times New Roman"/>
          <w:b/>
          <w:sz w:val="24"/>
          <w:szCs w:val="24"/>
        </w:rPr>
      </w:pPr>
    </w:p>
    <w:p w:rsidR="00B4610D" w:rsidRPr="00D53A7A" w:rsidRDefault="00B4610D" w:rsidP="00D53A7A">
      <w:pPr>
        <w:spacing w:line="480" w:lineRule="auto"/>
        <w:ind w:left="-284" w:right="-285"/>
        <w:rPr>
          <w:rFonts w:ascii="Times New Roman" w:hAnsi="Times New Roman" w:cs="Times New Roman"/>
          <w:b/>
          <w:sz w:val="24"/>
          <w:szCs w:val="24"/>
        </w:rPr>
      </w:pPr>
      <w:r w:rsidRPr="00D53A7A">
        <w:rPr>
          <w:rFonts w:ascii="Times New Roman" w:hAnsi="Times New Roman" w:cs="Times New Roman"/>
          <w:b/>
          <w:sz w:val="24"/>
          <w:szCs w:val="24"/>
        </w:rPr>
        <w:lastRenderedPageBreak/>
        <w:t>Materiais e Métodos:</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Foram selecionados pacientes com diagnóstico de AR acompanhados no serviço de Reumat</w:t>
      </w:r>
      <w:r w:rsidR="000C0DD4">
        <w:rPr>
          <w:rFonts w:ascii="Times New Roman" w:hAnsi="Times New Roman" w:cs="Times New Roman"/>
          <w:sz w:val="24"/>
          <w:szCs w:val="24"/>
        </w:rPr>
        <w:t>ologia do HUWC da UFC. Os</w:t>
      </w:r>
      <w:r w:rsidRPr="00D53A7A">
        <w:rPr>
          <w:rFonts w:ascii="Times New Roman" w:hAnsi="Times New Roman" w:cs="Times New Roman"/>
          <w:sz w:val="24"/>
          <w:szCs w:val="24"/>
        </w:rPr>
        <w:t xml:space="preserve"> pacientes recebe</w:t>
      </w:r>
      <w:r w:rsidR="000C0DD4">
        <w:rPr>
          <w:rFonts w:ascii="Times New Roman" w:hAnsi="Times New Roman" w:cs="Times New Roman"/>
          <w:sz w:val="24"/>
          <w:szCs w:val="24"/>
        </w:rPr>
        <w:t xml:space="preserve">ram o </w:t>
      </w:r>
      <w:r w:rsidRPr="00D53A7A">
        <w:rPr>
          <w:rFonts w:ascii="Times New Roman" w:hAnsi="Times New Roman" w:cs="Times New Roman"/>
          <w:sz w:val="24"/>
          <w:szCs w:val="24"/>
        </w:rPr>
        <w:t>diagnóstico pelos critérios do ACR 1987</w:t>
      </w:r>
      <w:r w:rsidRPr="00D53A7A">
        <w:rPr>
          <w:rFonts w:ascii="Times New Roman" w:hAnsi="Times New Roman" w:cs="Times New Roman"/>
          <w:sz w:val="24"/>
          <w:szCs w:val="24"/>
          <w:vertAlign w:val="superscript"/>
        </w:rPr>
        <w:t>6</w:t>
      </w:r>
      <w:r w:rsidR="000C0DD4">
        <w:rPr>
          <w:rFonts w:ascii="Times New Roman" w:hAnsi="Times New Roman" w:cs="Times New Roman"/>
          <w:sz w:val="24"/>
          <w:szCs w:val="24"/>
        </w:rPr>
        <w:t xml:space="preserve"> e</w:t>
      </w:r>
      <w:r w:rsidRPr="00D53A7A">
        <w:rPr>
          <w:rFonts w:ascii="Times New Roman" w:hAnsi="Times New Roman" w:cs="Times New Roman"/>
          <w:sz w:val="24"/>
          <w:szCs w:val="24"/>
        </w:rPr>
        <w:t xml:space="preserve"> do ACR/EULAR 2010</w:t>
      </w:r>
      <w:r w:rsidRPr="00D53A7A">
        <w:rPr>
          <w:rFonts w:ascii="Times New Roman" w:hAnsi="Times New Roman" w:cs="Times New Roman"/>
          <w:sz w:val="24"/>
          <w:szCs w:val="24"/>
          <w:vertAlign w:val="superscript"/>
        </w:rPr>
        <w:t>7</w:t>
      </w:r>
      <w:r w:rsidRPr="00D53A7A">
        <w:rPr>
          <w:rFonts w:ascii="Times New Roman" w:hAnsi="Times New Roman" w:cs="Times New Roman"/>
          <w:sz w:val="24"/>
          <w:szCs w:val="24"/>
        </w:rPr>
        <w:t xml:space="preserve">, a depender do ano do diagnóstico. </w:t>
      </w:r>
      <w:r w:rsidRPr="00D53A7A">
        <w:rPr>
          <w:rFonts w:ascii="Times New Roman" w:hAnsi="Times New Roman" w:cs="Times New Roman"/>
          <w:sz w:val="24"/>
          <w:szCs w:val="24"/>
          <w:u w:val="single"/>
        </w:rPr>
        <w:t>Critérios de inclusão</w:t>
      </w:r>
      <w:r w:rsidRPr="00D53A7A">
        <w:rPr>
          <w:rFonts w:ascii="Times New Roman" w:hAnsi="Times New Roman" w:cs="Times New Roman"/>
          <w:sz w:val="24"/>
          <w:szCs w:val="24"/>
        </w:rPr>
        <w:t xml:space="preserve">: paciente com diagnóstico de AR, de ambos os sexos, em uso atual ou nos últimos 5 anos de DMCD biológicas. </w:t>
      </w:r>
      <w:r w:rsidRPr="00D53A7A">
        <w:rPr>
          <w:rFonts w:ascii="Times New Roman" w:hAnsi="Times New Roman" w:cs="Times New Roman"/>
          <w:sz w:val="24"/>
          <w:szCs w:val="24"/>
          <w:u w:val="single"/>
        </w:rPr>
        <w:t>Critérios de exclusão</w:t>
      </w:r>
      <w:r w:rsidRPr="00D53A7A">
        <w:rPr>
          <w:rFonts w:ascii="Times New Roman" w:hAnsi="Times New Roman" w:cs="Times New Roman"/>
          <w:sz w:val="24"/>
          <w:szCs w:val="24"/>
        </w:rPr>
        <w:t>: diagnóstico de outra doença autoimun</w:t>
      </w:r>
      <w:r w:rsidR="00596FEC">
        <w:rPr>
          <w:rFonts w:ascii="Times New Roman" w:hAnsi="Times New Roman" w:cs="Times New Roman"/>
          <w:sz w:val="24"/>
          <w:szCs w:val="24"/>
        </w:rPr>
        <w:t>e associada à AR</w:t>
      </w:r>
      <w:r w:rsidRPr="00D53A7A">
        <w:rPr>
          <w:rFonts w:ascii="Times New Roman" w:hAnsi="Times New Roman" w:cs="Times New Roman"/>
          <w:sz w:val="24"/>
          <w:szCs w:val="24"/>
        </w:rPr>
        <w:t xml:space="preserve">, idade &lt; 18 anos. </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O de</w:t>
      </w:r>
      <w:r w:rsidR="00D91607">
        <w:rPr>
          <w:rFonts w:ascii="Times New Roman" w:hAnsi="Times New Roman" w:cs="Times New Roman"/>
          <w:sz w:val="24"/>
          <w:szCs w:val="24"/>
        </w:rPr>
        <w:t>lineamento do estudo foi</w:t>
      </w:r>
      <w:r w:rsidRPr="00D53A7A">
        <w:rPr>
          <w:rFonts w:ascii="Times New Roman" w:hAnsi="Times New Roman" w:cs="Times New Roman"/>
          <w:sz w:val="24"/>
          <w:szCs w:val="24"/>
        </w:rPr>
        <w:t xml:space="preserve"> retrospectivo e transversal.</w:t>
      </w:r>
      <w:r w:rsidR="000C0DD4">
        <w:rPr>
          <w:rFonts w:ascii="Times New Roman" w:hAnsi="Times New Roman" w:cs="Times New Roman"/>
          <w:sz w:val="24"/>
          <w:szCs w:val="24"/>
        </w:rPr>
        <w:t xml:space="preserve"> A coleta de dados realizou-se</w:t>
      </w:r>
      <w:r w:rsidRPr="00D53A7A">
        <w:rPr>
          <w:rFonts w:ascii="Times New Roman" w:hAnsi="Times New Roman" w:cs="Times New Roman"/>
          <w:sz w:val="24"/>
          <w:szCs w:val="24"/>
        </w:rPr>
        <w:t xml:space="preserve"> nos ambulatórios e centro de infus</w:t>
      </w:r>
      <w:r w:rsidR="00596FEC">
        <w:rPr>
          <w:rFonts w:ascii="Times New Roman" w:hAnsi="Times New Roman" w:cs="Times New Roman"/>
          <w:sz w:val="24"/>
          <w:szCs w:val="24"/>
        </w:rPr>
        <w:t>ão do HUWC no período de maio/2014 a março/</w:t>
      </w:r>
      <w:r w:rsidR="006A522D">
        <w:rPr>
          <w:rFonts w:ascii="Times New Roman" w:hAnsi="Times New Roman" w:cs="Times New Roman"/>
          <w:sz w:val="24"/>
          <w:szCs w:val="24"/>
        </w:rPr>
        <w:t>2015. Foram feit</w:t>
      </w:r>
      <w:r w:rsidRPr="00D53A7A">
        <w:rPr>
          <w:rFonts w:ascii="Times New Roman" w:hAnsi="Times New Roman" w:cs="Times New Roman"/>
          <w:sz w:val="24"/>
          <w:szCs w:val="24"/>
        </w:rPr>
        <w:t>as entrevistas para coleta de dados sociodemográficos e revisão de prontuários para coleta de variáveis clínicas, com protocolo padronizado.</w:t>
      </w:r>
      <w:r w:rsidR="004367EB">
        <w:rPr>
          <w:rFonts w:ascii="Times New Roman" w:hAnsi="Times New Roman" w:cs="Times New Roman"/>
          <w:sz w:val="24"/>
          <w:szCs w:val="24"/>
        </w:rPr>
        <w:t xml:space="preserve"> O estudo foi aprovado pelo Comitê de Ética em Pesquisa do HUWC.</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As variáveis demográficas coletadas foram idade, sexo, estado civil, nível de escolaridade, raça e profiss</w:t>
      </w:r>
      <w:r w:rsidR="006A522D">
        <w:rPr>
          <w:rFonts w:ascii="Times New Roman" w:hAnsi="Times New Roman" w:cs="Times New Roman"/>
          <w:sz w:val="24"/>
          <w:szCs w:val="24"/>
        </w:rPr>
        <w:t>ão. As variáveis clínicas foram</w:t>
      </w:r>
      <w:r w:rsidRPr="00D53A7A">
        <w:rPr>
          <w:rFonts w:ascii="Times New Roman" w:hAnsi="Times New Roman" w:cs="Times New Roman"/>
          <w:sz w:val="24"/>
          <w:szCs w:val="24"/>
        </w:rPr>
        <w:t xml:space="preserve"> tempo de doença, positividade do fator reumatoide, presença de manifestações extra-articulares, tabagismo, comorbidades associadas à AR, uso de DMCD sintéticas e biológicas. </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Com relação às DMCD biológicas for</w:t>
      </w:r>
      <w:r w:rsidR="00D91607">
        <w:rPr>
          <w:rFonts w:ascii="Times New Roman" w:hAnsi="Times New Roman" w:cs="Times New Roman"/>
          <w:sz w:val="24"/>
          <w:szCs w:val="24"/>
        </w:rPr>
        <w:t>am avaliados:</w:t>
      </w:r>
      <w:r w:rsidRPr="00D53A7A">
        <w:rPr>
          <w:rFonts w:ascii="Times New Roman" w:hAnsi="Times New Roman" w:cs="Times New Roman"/>
          <w:sz w:val="24"/>
          <w:szCs w:val="24"/>
        </w:rPr>
        <w:t xml:space="preserve"> tempo para iniciar a primeira droga biológic</w:t>
      </w:r>
      <w:r w:rsidR="00A93CD5">
        <w:rPr>
          <w:rFonts w:ascii="Times New Roman" w:hAnsi="Times New Roman" w:cs="Times New Roman"/>
          <w:sz w:val="24"/>
          <w:szCs w:val="24"/>
        </w:rPr>
        <w:t>a após diagnóstico de</w:t>
      </w:r>
      <w:r w:rsidRPr="00D53A7A">
        <w:rPr>
          <w:rFonts w:ascii="Times New Roman" w:hAnsi="Times New Roman" w:cs="Times New Roman"/>
          <w:sz w:val="24"/>
          <w:szCs w:val="24"/>
        </w:rPr>
        <w:t xml:space="preserve"> AR, tempo de uso de ca</w:t>
      </w:r>
      <w:r w:rsidR="00D91607">
        <w:rPr>
          <w:rFonts w:ascii="Times New Roman" w:hAnsi="Times New Roman" w:cs="Times New Roman"/>
          <w:sz w:val="24"/>
          <w:szCs w:val="24"/>
        </w:rPr>
        <w:t>da droga, motivos de suspensão</w:t>
      </w:r>
      <w:r w:rsidRPr="00D53A7A">
        <w:rPr>
          <w:rFonts w:ascii="Times New Roman" w:hAnsi="Times New Roman" w:cs="Times New Roman"/>
          <w:sz w:val="24"/>
          <w:szCs w:val="24"/>
        </w:rPr>
        <w:t xml:space="preserve"> (remissão, evento adverso, não resposta e não a</w:t>
      </w:r>
      <w:r w:rsidR="00596FEC">
        <w:rPr>
          <w:rFonts w:ascii="Times New Roman" w:hAnsi="Times New Roman" w:cs="Times New Roman"/>
          <w:sz w:val="24"/>
          <w:szCs w:val="24"/>
        </w:rPr>
        <w:t>derência), eventos adversos e nú</w:t>
      </w:r>
      <w:r w:rsidRPr="00D53A7A">
        <w:rPr>
          <w:rFonts w:ascii="Times New Roman" w:hAnsi="Times New Roman" w:cs="Times New Roman"/>
          <w:sz w:val="24"/>
          <w:szCs w:val="24"/>
        </w:rPr>
        <w:t xml:space="preserve">mero de drogas usadas por cada paciente.  O </w:t>
      </w:r>
      <w:r w:rsidRPr="00A93CD5">
        <w:rPr>
          <w:rFonts w:ascii="Times New Roman" w:hAnsi="Times New Roman" w:cs="Times New Roman"/>
          <w:i/>
          <w:sz w:val="24"/>
          <w:szCs w:val="24"/>
        </w:rPr>
        <w:t>Disease Activity Score</w:t>
      </w:r>
      <w:r w:rsidRPr="00D53A7A">
        <w:rPr>
          <w:rFonts w:ascii="Times New Roman" w:hAnsi="Times New Roman" w:cs="Times New Roman"/>
          <w:sz w:val="24"/>
          <w:szCs w:val="24"/>
        </w:rPr>
        <w:t xml:space="preserve"> (DAS28) foi usado para avaliação da atividade da doença na última consulta ambulatorial. Foi considerada doença em remissão se DAS28 ≤ 2,6 e atividade leve se DAS28 &gt; 2,6 e ≤ 3,2.</w:t>
      </w:r>
      <w:r w:rsidR="00A93CD5" w:rsidRPr="00A93CD5">
        <w:rPr>
          <w:rFonts w:ascii="Times New Roman" w:hAnsi="Times New Roman" w:cs="Times New Roman"/>
          <w:sz w:val="24"/>
          <w:szCs w:val="24"/>
          <w:vertAlign w:val="superscript"/>
        </w:rPr>
        <w:t>8</w:t>
      </w:r>
      <w:r w:rsidRPr="00D53A7A">
        <w:rPr>
          <w:rFonts w:ascii="Times New Roman" w:hAnsi="Times New Roman" w:cs="Times New Roman"/>
          <w:sz w:val="24"/>
          <w:szCs w:val="24"/>
        </w:rPr>
        <w:t xml:space="preserve"> O registro da última consulta de valores do hematócrito, hemoglobina, velocidade de hemossedimentação (VHS) e proteína C Reativa (PCR) em mg/dL </w:t>
      </w:r>
      <w:r w:rsidRPr="00D53A7A">
        <w:rPr>
          <w:rFonts w:ascii="Times New Roman" w:hAnsi="Times New Roman" w:cs="Times New Roman"/>
          <w:sz w:val="24"/>
          <w:szCs w:val="24"/>
        </w:rPr>
        <w:lastRenderedPageBreak/>
        <w:t xml:space="preserve">foram retirados dos prontuários. Dados relativos ao </w:t>
      </w:r>
      <w:r w:rsidRPr="00D53A7A">
        <w:rPr>
          <w:rFonts w:ascii="Times New Roman" w:hAnsi="Times New Roman" w:cs="Times New Roman"/>
          <w:i/>
          <w:sz w:val="24"/>
          <w:szCs w:val="24"/>
        </w:rPr>
        <w:t>screening</w:t>
      </w:r>
      <w:r w:rsidRPr="00D53A7A">
        <w:rPr>
          <w:rFonts w:ascii="Times New Roman" w:hAnsi="Times New Roman" w:cs="Times New Roman"/>
          <w:sz w:val="24"/>
          <w:szCs w:val="24"/>
        </w:rPr>
        <w:t xml:space="preserve"> para LTB e uso de isoniazida foram também retirados dos prontuários.</w:t>
      </w:r>
    </w:p>
    <w:p w:rsidR="00B4610D" w:rsidRPr="00D53A7A" w:rsidRDefault="00B4610D" w:rsidP="00D53A7A">
      <w:pPr>
        <w:spacing w:line="480" w:lineRule="auto"/>
        <w:ind w:left="-284" w:right="-285"/>
        <w:rPr>
          <w:rFonts w:ascii="Times New Roman" w:hAnsi="Times New Roman" w:cs="Times New Roman"/>
          <w:sz w:val="24"/>
          <w:szCs w:val="24"/>
        </w:rPr>
      </w:pPr>
      <w:r w:rsidRPr="00DE79D6">
        <w:rPr>
          <w:rFonts w:ascii="Times New Roman" w:hAnsi="Times New Roman" w:cs="Times New Roman"/>
          <w:sz w:val="24"/>
          <w:szCs w:val="24"/>
        </w:rPr>
        <w:t>Análise estatística:</w:t>
      </w:r>
      <w:r w:rsidR="00DE79D6">
        <w:rPr>
          <w:rFonts w:ascii="Times New Roman" w:hAnsi="Times New Roman" w:cs="Times New Roman"/>
          <w:sz w:val="24"/>
          <w:szCs w:val="24"/>
        </w:rPr>
        <w:t xml:space="preserve"> </w:t>
      </w:r>
      <w:r w:rsidRPr="00D53A7A">
        <w:rPr>
          <w:rFonts w:ascii="Times New Roman" w:hAnsi="Times New Roman" w:cs="Times New Roman"/>
          <w:sz w:val="24"/>
          <w:szCs w:val="24"/>
        </w:rPr>
        <w:t>A apresentação dos dados demográficos, clínicos e laboratoriais foi por meio de média (desvio padrão), mediana (intervalo interquartil) e percentagem. O banco de dados utilizado e o programa estatístico foi o Stata versão 9.0.</w:t>
      </w: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596FEC" w:rsidRDefault="00596FEC" w:rsidP="00D53A7A">
      <w:pPr>
        <w:spacing w:line="480" w:lineRule="auto"/>
        <w:ind w:left="-284" w:right="-285"/>
        <w:rPr>
          <w:rFonts w:ascii="Times New Roman" w:hAnsi="Times New Roman" w:cs="Times New Roman"/>
          <w:b/>
          <w:sz w:val="24"/>
          <w:szCs w:val="24"/>
          <w:u w:val="single"/>
        </w:rPr>
      </w:pPr>
    </w:p>
    <w:p w:rsidR="00B4610D" w:rsidRPr="00DE79D6" w:rsidRDefault="00B4610D" w:rsidP="00D53A7A">
      <w:pPr>
        <w:spacing w:line="480" w:lineRule="auto"/>
        <w:ind w:left="-284" w:right="-285"/>
        <w:rPr>
          <w:rFonts w:ascii="Times New Roman" w:hAnsi="Times New Roman" w:cs="Times New Roman"/>
          <w:b/>
          <w:sz w:val="24"/>
          <w:szCs w:val="24"/>
        </w:rPr>
      </w:pPr>
      <w:r w:rsidRPr="00DE79D6">
        <w:rPr>
          <w:rFonts w:ascii="Times New Roman" w:hAnsi="Times New Roman" w:cs="Times New Roman"/>
          <w:b/>
          <w:sz w:val="24"/>
          <w:szCs w:val="24"/>
        </w:rPr>
        <w:lastRenderedPageBreak/>
        <w:t>Resultados</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 xml:space="preserve">Em fevereiro de 2015, existiam 555 pacientes cadastrados na farmácia do HUWC para recebimento de DMCD com diagnóstico de artrite reumatoide. Destes, 191 para DMCD biológicas, representando 34,4% da população de pacientes com AR em seguimento no HUWC. </w:t>
      </w:r>
      <w:r w:rsidRPr="00D53A7A">
        <w:rPr>
          <w:rFonts w:ascii="Times New Roman" w:hAnsi="Times New Roman" w:cs="Times New Roman"/>
          <w:sz w:val="24"/>
          <w:szCs w:val="24"/>
        </w:rPr>
        <w:tab/>
      </w:r>
    </w:p>
    <w:p w:rsidR="00B4610D" w:rsidRPr="00D53A7A" w:rsidRDefault="00B4610D" w:rsidP="00D53A7A">
      <w:pPr>
        <w:spacing w:line="480" w:lineRule="auto"/>
        <w:ind w:left="-284" w:right="-285"/>
        <w:rPr>
          <w:rFonts w:ascii="Times New Roman" w:hAnsi="Times New Roman" w:cs="Times New Roman"/>
          <w:color w:val="FF0000"/>
          <w:sz w:val="24"/>
          <w:szCs w:val="24"/>
        </w:rPr>
      </w:pPr>
      <w:r w:rsidRPr="00D53A7A">
        <w:rPr>
          <w:rFonts w:ascii="Times New Roman" w:hAnsi="Times New Roman" w:cs="Times New Roman"/>
          <w:sz w:val="24"/>
          <w:szCs w:val="24"/>
        </w:rPr>
        <w:tab/>
        <w:t xml:space="preserve">Dos 191 pacientes em uso de DMCD biológicas, conseguimos estudar 131 pacientes que compareceram no período do estudo ao ambulatório ou ao centro de infusão (68,8%). A maioria era do sexo feminino (92,3%), com idade média de 55.1 </w:t>
      </w:r>
      <w:r w:rsidRPr="00D53A7A">
        <w:rPr>
          <w:rFonts w:ascii="Times New Roman" w:hAnsi="Times New Roman" w:cs="Times New Roman"/>
          <w:sz w:val="24"/>
          <w:szCs w:val="24"/>
          <w:u w:val="single"/>
        </w:rPr>
        <w:t>+</w:t>
      </w:r>
      <w:r w:rsidRPr="00D53A7A">
        <w:rPr>
          <w:rFonts w:ascii="Times New Roman" w:hAnsi="Times New Roman" w:cs="Times New Roman"/>
          <w:sz w:val="24"/>
          <w:szCs w:val="24"/>
        </w:rPr>
        <w:t xml:space="preserve"> 12.2 anos. O tempo médio de doença foi de 11,3 </w:t>
      </w:r>
      <w:r w:rsidRPr="00D53A7A">
        <w:rPr>
          <w:rFonts w:ascii="Times New Roman" w:hAnsi="Times New Roman" w:cs="Times New Roman"/>
          <w:sz w:val="24"/>
          <w:szCs w:val="24"/>
          <w:u w:val="single"/>
        </w:rPr>
        <w:t>+</w:t>
      </w:r>
      <w:r w:rsidRPr="00D53A7A">
        <w:rPr>
          <w:rFonts w:ascii="Times New Roman" w:hAnsi="Times New Roman" w:cs="Times New Roman"/>
          <w:sz w:val="24"/>
          <w:szCs w:val="24"/>
        </w:rPr>
        <w:t xml:space="preserve"> 6,5 anos. O fator r</w:t>
      </w:r>
      <w:r w:rsidR="006A522D">
        <w:rPr>
          <w:rFonts w:ascii="Times New Roman" w:hAnsi="Times New Roman" w:cs="Times New Roman"/>
          <w:sz w:val="24"/>
          <w:szCs w:val="24"/>
        </w:rPr>
        <w:t>eumatoide foi positivo em 86,6%</w:t>
      </w:r>
      <w:r w:rsidRPr="00D53A7A">
        <w:rPr>
          <w:rFonts w:ascii="Times New Roman" w:hAnsi="Times New Roman" w:cs="Times New Roman"/>
          <w:sz w:val="24"/>
          <w:szCs w:val="24"/>
        </w:rPr>
        <w:t xml:space="preserve"> dos pacientes e 12,4% apresentavam manifestações extra-articulares. A amostra se caracterizou, em sua maioria, por baixo nível de escolaridade (62,7% dos pacientes tinham até ensino fundamental compl</w:t>
      </w:r>
      <w:r w:rsidR="00596FEC">
        <w:rPr>
          <w:rFonts w:ascii="Times New Roman" w:hAnsi="Times New Roman" w:cs="Times New Roman"/>
          <w:sz w:val="24"/>
          <w:szCs w:val="24"/>
        </w:rPr>
        <w:t>eto) e cor da pele não branca</w:t>
      </w:r>
      <w:r w:rsidRPr="00D53A7A">
        <w:rPr>
          <w:rFonts w:ascii="Times New Roman" w:hAnsi="Times New Roman" w:cs="Times New Roman"/>
          <w:sz w:val="24"/>
          <w:szCs w:val="24"/>
        </w:rPr>
        <w:t xml:space="preserve"> </w:t>
      </w:r>
      <w:r w:rsidR="00596FEC">
        <w:rPr>
          <w:rFonts w:ascii="Times New Roman" w:hAnsi="Times New Roman" w:cs="Times New Roman"/>
          <w:sz w:val="24"/>
          <w:szCs w:val="24"/>
        </w:rPr>
        <w:t>(</w:t>
      </w:r>
      <w:r w:rsidRPr="00D53A7A">
        <w:rPr>
          <w:rFonts w:ascii="Times New Roman" w:hAnsi="Times New Roman" w:cs="Times New Roman"/>
          <w:sz w:val="24"/>
          <w:szCs w:val="24"/>
        </w:rPr>
        <w:t>82,9%</w:t>
      </w:r>
      <w:r w:rsidR="00596FEC">
        <w:rPr>
          <w:rFonts w:ascii="Times New Roman" w:hAnsi="Times New Roman" w:cs="Times New Roman"/>
          <w:sz w:val="24"/>
          <w:szCs w:val="24"/>
        </w:rPr>
        <w:t>)</w:t>
      </w:r>
      <w:r w:rsidRPr="00D53A7A">
        <w:rPr>
          <w:rFonts w:ascii="Times New Roman" w:hAnsi="Times New Roman" w:cs="Times New Roman"/>
          <w:sz w:val="24"/>
          <w:szCs w:val="24"/>
        </w:rPr>
        <w:t>. Foi verificado tabagismo em 48% dos pacientes e as comorbidades mais comuns foram: dislipidemia (42,6%), hipertensão arterial (36,4%), osteoporose (30,2%) e diabetes melitus (17,8%). (Tabela 1)</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As drogas sintéticas mais</w:t>
      </w:r>
      <w:r w:rsidR="006A522D">
        <w:rPr>
          <w:rFonts w:ascii="Times New Roman" w:hAnsi="Times New Roman" w:cs="Times New Roman"/>
          <w:sz w:val="24"/>
          <w:szCs w:val="24"/>
        </w:rPr>
        <w:t xml:space="preserve"> utilizadas foram o metotrexate</w:t>
      </w:r>
      <w:r w:rsidRPr="00D53A7A">
        <w:rPr>
          <w:rFonts w:ascii="Times New Roman" w:hAnsi="Times New Roman" w:cs="Times New Roman"/>
          <w:sz w:val="24"/>
          <w:szCs w:val="24"/>
        </w:rPr>
        <w:t>, seguido pela leflunomida. A associação de drogas sintéticas mais comumente observada foi a de metotrexate e leflunomida em 69,6% dos pacientes, seguida por metotrexate e antimaláricos em 14,3%. (Tabela 2)</w:t>
      </w:r>
    </w:p>
    <w:p w:rsidR="00B4610D" w:rsidRPr="00D53A7A" w:rsidRDefault="00B4610D" w:rsidP="00D53A7A">
      <w:pPr>
        <w:spacing w:line="480" w:lineRule="auto"/>
        <w:ind w:left="-284" w:right="-285"/>
        <w:rPr>
          <w:rFonts w:ascii="Times New Roman" w:hAnsi="Times New Roman" w:cs="Times New Roman"/>
          <w:color w:val="FF0000"/>
          <w:sz w:val="24"/>
          <w:szCs w:val="24"/>
        </w:rPr>
      </w:pPr>
      <w:r w:rsidRPr="00D53A7A">
        <w:rPr>
          <w:rFonts w:ascii="Times New Roman" w:hAnsi="Times New Roman" w:cs="Times New Roman"/>
          <w:sz w:val="24"/>
          <w:szCs w:val="24"/>
        </w:rPr>
        <w:tab/>
        <w:t xml:space="preserve">O tempo médio para iniciar tratamento com primeira DMCD biológica foi de 8,2 </w:t>
      </w:r>
      <w:r w:rsidRPr="00D53A7A">
        <w:rPr>
          <w:rFonts w:ascii="Times New Roman" w:hAnsi="Times New Roman" w:cs="Times New Roman"/>
          <w:sz w:val="24"/>
          <w:szCs w:val="24"/>
          <w:u w:val="single"/>
        </w:rPr>
        <w:t>+</w:t>
      </w:r>
      <w:r w:rsidRPr="00D53A7A">
        <w:rPr>
          <w:rFonts w:ascii="Times New Roman" w:hAnsi="Times New Roman" w:cs="Times New Roman"/>
          <w:sz w:val="24"/>
          <w:szCs w:val="24"/>
        </w:rPr>
        <w:t xml:space="preserve"> 6,2 anos, sendo as drogas mais frequentemente utilizadas nesta coorte os anti</w:t>
      </w:r>
      <w:r w:rsidR="00A93CD5">
        <w:rPr>
          <w:rFonts w:ascii="Times New Roman" w:hAnsi="Times New Roman" w:cs="Times New Roman"/>
          <w:sz w:val="24"/>
          <w:szCs w:val="24"/>
        </w:rPr>
        <w:t>-</w:t>
      </w:r>
      <w:r w:rsidRPr="00D53A7A">
        <w:rPr>
          <w:rFonts w:ascii="Times New Roman" w:hAnsi="Times New Roman" w:cs="Times New Roman"/>
          <w:sz w:val="24"/>
          <w:szCs w:val="24"/>
        </w:rPr>
        <w:t xml:space="preserve">TNF (infliximabe 56,5%, etanercepte 45,8% e adalimumabe 32,1%), seguidos por abatacepte 15,3%, tocilizumabe 13,8%, e rituximabe 8,4%. O número médio de biológicos utilizados por paciente foi de 1,72 </w:t>
      </w:r>
      <w:r w:rsidRPr="00D53A7A">
        <w:rPr>
          <w:rFonts w:ascii="Times New Roman" w:hAnsi="Times New Roman" w:cs="Times New Roman"/>
          <w:sz w:val="24"/>
          <w:szCs w:val="24"/>
          <w:u w:val="single"/>
        </w:rPr>
        <w:t>+</w:t>
      </w:r>
      <w:r w:rsidRPr="00D53A7A">
        <w:rPr>
          <w:rFonts w:ascii="Times New Roman" w:hAnsi="Times New Roman" w:cs="Times New Roman"/>
          <w:sz w:val="24"/>
          <w:szCs w:val="24"/>
        </w:rPr>
        <w:t xml:space="preserve"> 1,03 (mínimo: 1; máximo: 5). A classe de biológicos escolhida mais comumente como 1ª opção foi o anti</w:t>
      </w:r>
      <w:r w:rsidR="00A93CD5">
        <w:rPr>
          <w:rFonts w:ascii="Times New Roman" w:hAnsi="Times New Roman" w:cs="Times New Roman"/>
          <w:sz w:val="24"/>
          <w:szCs w:val="24"/>
        </w:rPr>
        <w:t>-</w:t>
      </w:r>
      <w:r w:rsidRPr="00D53A7A">
        <w:rPr>
          <w:rFonts w:ascii="Times New Roman" w:hAnsi="Times New Roman" w:cs="Times New Roman"/>
          <w:sz w:val="24"/>
          <w:szCs w:val="24"/>
        </w:rPr>
        <w:t>TNF sendo infliximabe (53,4%), etarnecepte (23,7%) e adalimumabe (17,5%); como segunda opção foram abatacepte (14,3%) e rituximabe (5,3%) e como terceira opção o abatacepte (26,9%), tocilizumabe (19,2%) e rituximabe (19,2%). (Tabelas 3 e 4)</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lastRenderedPageBreak/>
        <w:tab/>
        <w:t xml:space="preserve">Os principais eventos adversos relacionados às DMCD biológicas foram infecções 24,3%, seguidos de urticária 12,1% e reações infusionais 8,6%. </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A taxa de suspensão de droga em algum momento do tratamento foi de 81,8% para o rituximabe, seguido de 65% para adalimumabe, 64,8% para infliximabe e 46,7% para etarnecepte. As causas de suspensão de biológicos mais comuns foram não resposta e evento adverso (Tabela 5).</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 xml:space="preserve">Na última avaliação, a maioria dos pacientes (76%) estava usando alguma DMCD biológica associada a uma DMCD sintética, sendo que os esquemas terapêuticos mais utilizados incluíam metotrexate ou leflunomida em associação, respectivamente, a etanercepte (23,2%), infliximabe (16,8%), adalimumabe (13,6%) e tocilizumabe (12,0%). A frequência de pacientes utilizando imunobiológicos em monoterapia foi de 20%, sendo o tocilizumabe (6,4%) e abatacepte (5,6%) os mais usados. A taxa de remissão ou atividade leve (DAS 28 </w:t>
      </w:r>
      <w:r w:rsidRPr="00D53A7A">
        <w:rPr>
          <w:rFonts w:ascii="Times New Roman" w:hAnsi="Times New Roman" w:cs="Times New Roman"/>
          <w:sz w:val="24"/>
          <w:szCs w:val="24"/>
          <w:u w:val="single"/>
        </w:rPr>
        <w:t>&lt;</w:t>
      </w:r>
      <w:r w:rsidRPr="00D53A7A">
        <w:rPr>
          <w:rFonts w:ascii="Times New Roman" w:hAnsi="Times New Roman" w:cs="Times New Roman"/>
          <w:sz w:val="24"/>
          <w:szCs w:val="24"/>
        </w:rPr>
        <w:t xml:space="preserve"> 3,2) neste momento foi de 32% (tabela 3). O DAS 28 médio registrado foi 4,18 </w:t>
      </w:r>
      <w:r w:rsidRPr="00D53A7A">
        <w:rPr>
          <w:rFonts w:ascii="Times New Roman" w:hAnsi="Times New Roman" w:cs="Times New Roman"/>
          <w:sz w:val="24"/>
          <w:szCs w:val="24"/>
          <w:u w:val="single"/>
        </w:rPr>
        <w:t>+</w:t>
      </w:r>
      <w:r w:rsidRPr="00D53A7A">
        <w:rPr>
          <w:rFonts w:ascii="Times New Roman" w:hAnsi="Times New Roman" w:cs="Times New Roman"/>
          <w:sz w:val="24"/>
          <w:szCs w:val="24"/>
        </w:rPr>
        <w:t xml:space="preserve"> 1,68.</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 xml:space="preserve">Dos 128 pacientes em que encontramos dados no prontuário sobre </w:t>
      </w:r>
      <w:r w:rsidRPr="00D53A7A">
        <w:rPr>
          <w:rFonts w:ascii="Times New Roman" w:hAnsi="Times New Roman" w:cs="Times New Roman"/>
          <w:i/>
          <w:sz w:val="24"/>
          <w:szCs w:val="24"/>
        </w:rPr>
        <w:t>screening</w:t>
      </w:r>
      <w:r w:rsidRPr="00D53A7A">
        <w:rPr>
          <w:rFonts w:ascii="Times New Roman" w:hAnsi="Times New Roman" w:cs="Times New Roman"/>
          <w:sz w:val="24"/>
          <w:szCs w:val="24"/>
        </w:rPr>
        <w:t xml:space="preserve"> para LTB, 53,1% utilizaram isoniazida. Destes, 73,4% tinham PPD &gt; 5 mm, 23,3% alterações radiológicas sugestivas e 53,1% epidemiologia positiva. </w:t>
      </w: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DE79D6" w:rsidRDefault="00DE79D6" w:rsidP="00D53A7A">
      <w:pPr>
        <w:spacing w:line="480" w:lineRule="auto"/>
        <w:ind w:left="-284" w:right="-285"/>
        <w:rPr>
          <w:rFonts w:ascii="Times New Roman" w:hAnsi="Times New Roman" w:cs="Times New Roman"/>
          <w:b/>
          <w:sz w:val="24"/>
          <w:szCs w:val="24"/>
          <w:u w:val="single"/>
        </w:rPr>
      </w:pPr>
    </w:p>
    <w:p w:rsidR="004367EB" w:rsidRDefault="004367EB" w:rsidP="00D53A7A">
      <w:pPr>
        <w:spacing w:line="480" w:lineRule="auto"/>
        <w:ind w:left="-284" w:right="-285"/>
        <w:rPr>
          <w:rFonts w:ascii="Times New Roman" w:hAnsi="Times New Roman" w:cs="Times New Roman"/>
          <w:b/>
          <w:sz w:val="24"/>
          <w:szCs w:val="24"/>
        </w:rPr>
      </w:pPr>
    </w:p>
    <w:p w:rsidR="004367EB" w:rsidRDefault="004367EB" w:rsidP="00D53A7A">
      <w:pPr>
        <w:spacing w:line="480" w:lineRule="auto"/>
        <w:ind w:left="-284" w:right="-285"/>
        <w:rPr>
          <w:rFonts w:ascii="Times New Roman" w:hAnsi="Times New Roman" w:cs="Times New Roman"/>
          <w:b/>
          <w:sz w:val="24"/>
          <w:szCs w:val="24"/>
        </w:rPr>
      </w:pPr>
    </w:p>
    <w:p w:rsidR="00B4610D" w:rsidRPr="00DE79D6" w:rsidRDefault="00B4610D" w:rsidP="00D53A7A">
      <w:pPr>
        <w:spacing w:line="480" w:lineRule="auto"/>
        <w:ind w:left="-284" w:right="-285"/>
        <w:rPr>
          <w:rFonts w:ascii="Times New Roman" w:hAnsi="Times New Roman" w:cs="Times New Roman"/>
          <w:b/>
          <w:sz w:val="24"/>
          <w:szCs w:val="24"/>
        </w:rPr>
      </w:pPr>
      <w:r w:rsidRPr="00DE79D6">
        <w:rPr>
          <w:rFonts w:ascii="Times New Roman" w:hAnsi="Times New Roman" w:cs="Times New Roman"/>
          <w:b/>
          <w:sz w:val="24"/>
          <w:szCs w:val="24"/>
        </w:rPr>
        <w:lastRenderedPageBreak/>
        <w:t>Discussão</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Os pacientes que compõem esta coorte são provavelmente um subgrupo de doença articular mais grave, visto que são aqueles não obtiveram controle de atividade de doença com as DMCD sintéticas e, portanto, tiveram indicação de terapia com imunobiológicos. Talvez por este motivo</w:t>
      </w:r>
      <w:r w:rsidR="006A522D">
        <w:rPr>
          <w:rFonts w:ascii="Times New Roman" w:hAnsi="Times New Roman" w:cs="Times New Roman"/>
          <w:sz w:val="24"/>
          <w:szCs w:val="24"/>
        </w:rPr>
        <w:t>, observamos frequência</w:t>
      </w:r>
      <w:r w:rsidRPr="00D53A7A">
        <w:rPr>
          <w:rFonts w:ascii="Times New Roman" w:hAnsi="Times New Roman" w:cs="Times New Roman"/>
          <w:sz w:val="24"/>
          <w:szCs w:val="24"/>
        </w:rPr>
        <w:t xml:space="preserve"> maior de fator reumatoide positivo 86,6% do que o encontrado na artrite reumatoide estabelecida, que varia de 60 a 80%.</w:t>
      </w:r>
      <w:r w:rsidR="00BA78F6">
        <w:rPr>
          <w:rFonts w:ascii="Times New Roman" w:hAnsi="Times New Roman" w:cs="Times New Roman"/>
          <w:sz w:val="24"/>
          <w:szCs w:val="24"/>
          <w:vertAlign w:val="superscript"/>
        </w:rPr>
        <w:t>9</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Constatamos exposição ao tabagismo em quase metade de nossa amostra. Estudos sugere</w:t>
      </w:r>
      <w:r w:rsidR="00B4588E">
        <w:rPr>
          <w:rFonts w:ascii="Times New Roman" w:hAnsi="Times New Roman" w:cs="Times New Roman"/>
          <w:sz w:val="24"/>
          <w:szCs w:val="24"/>
        </w:rPr>
        <w:t>m que o tabagismo associa-se</w:t>
      </w:r>
      <w:r w:rsidRPr="00D53A7A">
        <w:rPr>
          <w:rFonts w:ascii="Times New Roman" w:hAnsi="Times New Roman" w:cs="Times New Roman"/>
          <w:sz w:val="24"/>
          <w:szCs w:val="24"/>
        </w:rPr>
        <w:t xml:space="preserve"> tanto ao aumento da susceptibilidade ao desen</w:t>
      </w:r>
      <w:r w:rsidR="00B4588E">
        <w:rPr>
          <w:rFonts w:ascii="Times New Roman" w:hAnsi="Times New Roman" w:cs="Times New Roman"/>
          <w:sz w:val="24"/>
          <w:szCs w:val="24"/>
        </w:rPr>
        <w:t>volvimento de AR</w:t>
      </w:r>
      <w:r w:rsidRPr="00D53A7A">
        <w:rPr>
          <w:rFonts w:ascii="Times New Roman" w:hAnsi="Times New Roman" w:cs="Times New Roman"/>
          <w:sz w:val="24"/>
          <w:szCs w:val="24"/>
        </w:rPr>
        <w:t xml:space="preserve"> em indivíduos geneticamente predispostos, quanto a pior resposta clínica à terapêutic</w:t>
      </w:r>
      <w:r w:rsidR="00B4588E">
        <w:rPr>
          <w:rFonts w:ascii="Times New Roman" w:hAnsi="Times New Roman" w:cs="Times New Roman"/>
          <w:sz w:val="24"/>
          <w:szCs w:val="24"/>
        </w:rPr>
        <w:t>a, em especial aos agentes anti-</w:t>
      </w:r>
      <w:r w:rsidRPr="00D53A7A">
        <w:rPr>
          <w:rFonts w:ascii="Times New Roman" w:hAnsi="Times New Roman" w:cs="Times New Roman"/>
          <w:sz w:val="24"/>
          <w:szCs w:val="24"/>
        </w:rPr>
        <w:t>TNF.</w:t>
      </w:r>
      <w:r w:rsidRPr="00D53A7A">
        <w:rPr>
          <w:rFonts w:ascii="Times New Roman" w:hAnsi="Times New Roman" w:cs="Times New Roman"/>
          <w:sz w:val="24"/>
          <w:szCs w:val="24"/>
          <w:vertAlign w:val="superscript"/>
        </w:rPr>
        <w:t>1</w:t>
      </w:r>
      <w:r w:rsidR="00BA78F6">
        <w:rPr>
          <w:rFonts w:ascii="Times New Roman" w:hAnsi="Times New Roman" w:cs="Times New Roman"/>
          <w:sz w:val="24"/>
          <w:szCs w:val="24"/>
          <w:vertAlign w:val="superscript"/>
        </w:rPr>
        <w:t>0</w:t>
      </w:r>
      <w:r w:rsidRPr="00D53A7A">
        <w:rPr>
          <w:rFonts w:ascii="Times New Roman" w:hAnsi="Times New Roman" w:cs="Times New Roman"/>
          <w:sz w:val="24"/>
          <w:szCs w:val="24"/>
        </w:rPr>
        <w:t xml:space="preserve"> O fumo promove inflamação persistente devido ao stress oxidativo, estado pro-inflamatório, produção de autoanticorpos e efeitos epigenéticos implicados na </w:t>
      </w:r>
      <w:r w:rsidR="00B4588E">
        <w:rPr>
          <w:rFonts w:ascii="Times New Roman" w:hAnsi="Times New Roman" w:cs="Times New Roman"/>
          <w:sz w:val="24"/>
          <w:szCs w:val="24"/>
        </w:rPr>
        <w:t>autoimunidade da artrite reumato</w:t>
      </w:r>
      <w:r w:rsidRPr="00D53A7A">
        <w:rPr>
          <w:rFonts w:ascii="Times New Roman" w:hAnsi="Times New Roman" w:cs="Times New Roman"/>
          <w:sz w:val="24"/>
          <w:szCs w:val="24"/>
        </w:rPr>
        <w:t xml:space="preserve">ide, devendo ser desencorajado em pacientes portadores de </w:t>
      </w:r>
      <w:r w:rsidR="00B4588E">
        <w:rPr>
          <w:rFonts w:ascii="Times New Roman" w:hAnsi="Times New Roman" w:cs="Times New Roman"/>
          <w:sz w:val="24"/>
          <w:szCs w:val="24"/>
        </w:rPr>
        <w:t>AR.</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r>
      <w:r w:rsidRPr="00D53A7A">
        <w:rPr>
          <w:rFonts w:ascii="Times New Roman" w:hAnsi="Times New Roman" w:cs="Times New Roman"/>
          <w:color w:val="FF0000"/>
          <w:sz w:val="24"/>
          <w:szCs w:val="24"/>
        </w:rPr>
        <w:t xml:space="preserve"> </w:t>
      </w:r>
      <w:r w:rsidR="006A522D">
        <w:rPr>
          <w:rFonts w:ascii="Times New Roman" w:hAnsi="Times New Roman" w:cs="Times New Roman"/>
          <w:sz w:val="24"/>
          <w:szCs w:val="24"/>
        </w:rPr>
        <w:t>Observamos um longo tempo médio</w:t>
      </w:r>
      <w:r w:rsidRPr="00D53A7A">
        <w:rPr>
          <w:rFonts w:ascii="Times New Roman" w:hAnsi="Times New Roman" w:cs="Times New Roman"/>
          <w:sz w:val="24"/>
          <w:szCs w:val="24"/>
        </w:rPr>
        <w:t xml:space="preserve"> para início de terapia imunobiológica. Talvez isto se justifique pelo longo tempo de doença dos pacientes de nossa amostra. Desta forma, no início de seu seguimento, as drogas imunobiológicas talvez não estivessem disponíveis para prescrição médica.</w:t>
      </w:r>
      <w:r w:rsidRPr="00596FEC">
        <w:rPr>
          <w:rFonts w:ascii="Times New Roman" w:hAnsi="Times New Roman" w:cs="Times New Roman"/>
          <w:sz w:val="24"/>
          <w:szCs w:val="24"/>
        </w:rPr>
        <w:t xml:space="preserve"> No HUWC, inicialmente, a partir de julho de 2004, estavam liberados para uso apenas infliximabe</w:t>
      </w:r>
      <w:r w:rsidRPr="00D53A7A">
        <w:rPr>
          <w:rFonts w:ascii="Times New Roman" w:hAnsi="Times New Roman" w:cs="Times New Roman"/>
          <w:sz w:val="24"/>
          <w:szCs w:val="24"/>
        </w:rPr>
        <w:t>, adalimumabe e etanercepte. A partir de setembro de 2013, foi liberado pelo ministério da saúde mais dois anti</w:t>
      </w:r>
      <w:r w:rsidR="00B4588E">
        <w:rPr>
          <w:rFonts w:ascii="Times New Roman" w:hAnsi="Times New Roman" w:cs="Times New Roman"/>
          <w:sz w:val="24"/>
          <w:szCs w:val="24"/>
        </w:rPr>
        <w:t>-</w:t>
      </w:r>
      <w:r w:rsidRPr="00D53A7A">
        <w:rPr>
          <w:rFonts w:ascii="Times New Roman" w:hAnsi="Times New Roman" w:cs="Times New Roman"/>
          <w:sz w:val="24"/>
          <w:szCs w:val="24"/>
        </w:rPr>
        <w:t>TNF (certolizumabe e golimumabe), além do tocilizumabe, abatacepte e rituximabe.  Este fato pode ter contribuído significativamente para a casuística desta coorte, que tem maior número de p</w:t>
      </w:r>
      <w:r w:rsidR="00B4588E">
        <w:rPr>
          <w:rFonts w:ascii="Times New Roman" w:hAnsi="Times New Roman" w:cs="Times New Roman"/>
          <w:sz w:val="24"/>
          <w:szCs w:val="24"/>
        </w:rPr>
        <w:t>acientes em uso de agentes anti-</w:t>
      </w:r>
      <w:r w:rsidRPr="00D53A7A">
        <w:rPr>
          <w:rFonts w:ascii="Times New Roman" w:hAnsi="Times New Roman" w:cs="Times New Roman"/>
          <w:sz w:val="24"/>
          <w:szCs w:val="24"/>
        </w:rPr>
        <w:t>TNF tradicionais. As demais drogas foram empregadas predominantemente em casos de diagnóstico mais recente ou de falha a mais de um anti</w:t>
      </w:r>
      <w:r w:rsidR="00B4588E">
        <w:rPr>
          <w:rFonts w:ascii="Times New Roman" w:hAnsi="Times New Roman" w:cs="Times New Roman"/>
          <w:sz w:val="24"/>
          <w:szCs w:val="24"/>
        </w:rPr>
        <w:t>-</w:t>
      </w:r>
      <w:r w:rsidRPr="00D53A7A">
        <w:rPr>
          <w:rFonts w:ascii="Times New Roman" w:hAnsi="Times New Roman" w:cs="Times New Roman"/>
          <w:sz w:val="24"/>
          <w:szCs w:val="24"/>
        </w:rPr>
        <w:t xml:space="preserve">TNF. Outros motivos que podem ter contribuído para este longo tempo são o predomínio de baixo nível socioeconômico em nossa amostra e as dificuldades estruturais de nosso sistema de </w:t>
      </w:r>
      <w:r w:rsidRPr="00D53A7A">
        <w:rPr>
          <w:rFonts w:ascii="Times New Roman" w:hAnsi="Times New Roman" w:cs="Times New Roman"/>
          <w:sz w:val="24"/>
          <w:szCs w:val="24"/>
        </w:rPr>
        <w:lastRenderedPageBreak/>
        <w:t>saúde, fatores citados em estudos prévios</w:t>
      </w:r>
      <w:r w:rsidRPr="00D53A7A">
        <w:rPr>
          <w:rFonts w:ascii="Times New Roman" w:hAnsi="Times New Roman" w:cs="Times New Roman"/>
          <w:sz w:val="24"/>
          <w:szCs w:val="24"/>
          <w:vertAlign w:val="superscript"/>
        </w:rPr>
        <w:t>1</w:t>
      </w:r>
      <w:r w:rsidR="00BA78F6">
        <w:rPr>
          <w:rFonts w:ascii="Times New Roman" w:hAnsi="Times New Roman" w:cs="Times New Roman"/>
          <w:sz w:val="24"/>
          <w:szCs w:val="24"/>
          <w:vertAlign w:val="superscript"/>
        </w:rPr>
        <w:t>1</w:t>
      </w:r>
      <w:r w:rsidRPr="00D53A7A">
        <w:rPr>
          <w:rFonts w:ascii="Times New Roman" w:hAnsi="Times New Roman" w:cs="Times New Roman"/>
          <w:sz w:val="24"/>
          <w:szCs w:val="24"/>
        </w:rPr>
        <w:t xml:space="preserve"> como associados à menor probabilidade de início de tratamento com DMCD biológica.  </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Apesar de o consenso brasileiro de 2012 ainda recomendar os agentes anti</w:t>
      </w:r>
      <w:r w:rsidR="00A93CD5">
        <w:rPr>
          <w:rFonts w:ascii="Times New Roman" w:hAnsi="Times New Roman" w:cs="Times New Roman"/>
          <w:sz w:val="24"/>
          <w:szCs w:val="24"/>
        </w:rPr>
        <w:t>-</w:t>
      </w:r>
      <w:r w:rsidRPr="00D53A7A">
        <w:rPr>
          <w:rFonts w:ascii="Times New Roman" w:hAnsi="Times New Roman" w:cs="Times New Roman"/>
          <w:sz w:val="24"/>
          <w:szCs w:val="24"/>
        </w:rPr>
        <w:t>TNF como biológicos de primeira escolha por conta da maior experiência cronológica dos prescritores com seu uso, o consenso europeu de 2014 considera que tanto os anti</w:t>
      </w:r>
      <w:r w:rsidR="00A93CD5">
        <w:rPr>
          <w:rFonts w:ascii="Times New Roman" w:hAnsi="Times New Roman" w:cs="Times New Roman"/>
          <w:sz w:val="24"/>
          <w:szCs w:val="24"/>
        </w:rPr>
        <w:t>-</w:t>
      </w:r>
      <w:r w:rsidRPr="00D53A7A">
        <w:rPr>
          <w:rFonts w:ascii="Times New Roman" w:hAnsi="Times New Roman" w:cs="Times New Roman"/>
          <w:sz w:val="24"/>
          <w:szCs w:val="24"/>
        </w:rPr>
        <w:t xml:space="preserve">TNF quanto o </w:t>
      </w:r>
      <w:r w:rsidR="006A522D">
        <w:rPr>
          <w:rFonts w:ascii="Times New Roman" w:hAnsi="Times New Roman" w:cs="Times New Roman"/>
          <w:sz w:val="24"/>
          <w:szCs w:val="24"/>
        </w:rPr>
        <w:t>tocilizumabe e o abatacepte</w:t>
      </w:r>
      <w:r w:rsidRPr="00D53A7A">
        <w:rPr>
          <w:rFonts w:ascii="Times New Roman" w:hAnsi="Times New Roman" w:cs="Times New Roman"/>
          <w:sz w:val="24"/>
          <w:szCs w:val="24"/>
        </w:rPr>
        <w:t xml:space="preserve"> sejam adequados como primeira droga biológica a ser prescrita, a critério clínico. O rituximabe, entretanto, deve ser reservado para pacientes não respondedores à terapia com anti</w:t>
      </w:r>
      <w:r w:rsidR="00A93CD5">
        <w:rPr>
          <w:rFonts w:ascii="Times New Roman" w:hAnsi="Times New Roman" w:cs="Times New Roman"/>
          <w:sz w:val="24"/>
          <w:szCs w:val="24"/>
        </w:rPr>
        <w:t>-</w:t>
      </w:r>
      <w:r w:rsidRPr="00D53A7A">
        <w:rPr>
          <w:rFonts w:ascii="Times New Roman" w:hAnsi="Times New Roman" w:cs="Times New Roman"/>
          <w:sz w:val="24"/>
          <w:szCs w:val="24"/>
        </w:rPr>
        <w:t>TNF ou para aqueles virgens de tratamento com DMCD biológicas em situações especiais como: diagnóstico de doença linfoproliferativa ou neoplasia sólida nos últimos 5 anos, história prévia de doença desmielinizante ou TB latente com contraindicação à quimioprofilaxia.</w:t>
      </w:r>
      <w:r w:rsidRPr="00D53A7A">
        <w:rPr>
          <w:rFonts w:ascii="Times New Roman" w:hAnsi="Times New Roman" w:cs="Times New Roman"/>
          <w:sz w:val="24"/>
          <w:szCs w:val="24"/>
          <w:vertAlign w:val="superscript"/>
        </w:rPr>
        <w:t>2, 1</w:t>
      </w:r>
      <w:r w:rsidR="00BA78F6">
        <w:rPr>
          <w:rFonts w:ascii="Times New Roman" w:hAnsi="Times New Roman" w:cs="Times New Roman"/>
          <w:sz w:val="24"/>
          <w:szCs w:val="24"/>
          <w:vertAlign w:val="superscript"/>
        </w:rPr>
        <w:t>2</w:t>
      </w:r>
      <w:r w:rsidRPr="00D53A7A">
        <w:rPr>
          <w:rFonts w:ascii="Times New Roman" w:hAnsi="Times New Roman" w:cs="Times New Roman"/>
          <w:sz w:val="24"/>
          <w:szCs w:val="24"/>
        </w:rPr>
        <w:t xml:space="preserve"> </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A prescrição de imunobiológicos deve ser feita em combinação com droga sintética, de preferência o metotrexate</w:t>
      </w:r>
      <w:r w:rsidRPr="00D53A7A">
        <w:rPr>
          <w:rFonts w:ascii="Times New Roman" w:hAnsi="Times New Roman" w:cs="Times New Roman"/>
          <w:sz w:val="24"/>
          <w:szCs w:val="24"/>
          <w:vertAlign w:val="superscript"/>
        </w:rPr>
        <w:t>1</w:t>
      </w:r>
      <w:r w:rsidR="00BA78F6">
        <w:rPr>
          <w:rFonts w:ascii="Times New Roman" w:hAnsi="Times New Roman" w:cs="Times New Roman"/>
          <w:sz w:val="24"/>
          <w:szCs w:val="24"/>
          <w:vertAlign w:val="superscript"/>
        </w:rPr>
        <w:t>3</w:t>
      </w:r>
      <w:r w:rsidRPr="00D53A7A">
        <w:rPr>
          <w:rFonts w:ascii="Times New Roman" w:hAnsi="Times New Roman" w:cs="Times New Roman"/>
          <w:sz w:val="24"/>
          <w:szCs w:val="24"/>
        </w:rPr>
        <w:t>, exceto se for contraindicado. Evidências mostram que a associação de metotrexate com DMCD biológica é a que está menos associada à suspensão da medicação por evento adverso</w:t>
      </w:r>
      <w:r w:rsidRPr="00D53A7A">
        <w:rPr>
          <w:rFonts w:ascii="Times New Roman" w:hAnsi="Times New Roman" w:cs="Times New Roman"/>
          <w:color w:val="000000" w:themeColor="text1"/>
          <w:sz w:val="24"/>
          <w:szCs w:val="24"/>
          <w:vertAlign w:val="superscript"/>
        </w:rPr>
        <w:t>1</w:t>
      </w:r>
      <w:r w:rsidR="00BA78F6">
        <w:rPr>
          <w:rFonts w:ascii="Times New Roman" w:hAnsi="Times New Roman" w:cs="Times New Roman"/>
          <w:color w:val="000000" w:themeColor="text1"/>
          <w:sz w:val="24"/>
          <w:szCs w:val="24"/>
          <w:vertAlign w:val="superscript"/>
        </w:rPr>
        <w:t>4</w:t>
      </w:r>
      <w:r w:rsidRPr="00D53A7A">
        <w:rPr>
          <w:rFonts w:ascii="Times New Roman" w:hAnsi="Times New Roman" w:cs="Times New Roman"/>
          <w:sz w:val="24"/>
          <w:szCs w:val="24"/>
        </w:rPr>
        <w:t>, além de seus efeitos sinérgicos antinflamatórios e de aumento da tolerância imunológica aos anticorpos monoclonais. É relevante ressaltar que o tocilizumabe pode ser utilizado em monoterapia quando necessário, porém mesmo esta droga tem uso combinado preferencial.</w:t>
      </w:r>
      <w:r w:rsidRPr="00D53A7A">
        <w:rPr>
          <w:rFonts w:ascii="Times New Roman" w:hAnsi="Times New Roman" w:cs="Times New Roman"/>
          <w:sz w:val="24"/>
          <w:szCs w:val="24"/>
          <w:vertAlign w:val="superscript"/>
        </w:rPr>
        <w:t>2,1</w:t>
      </w:r>
      <w:r w:rsidR="00BA78F6">
        <w:rPr>
          <w:rFonts w:ascii="Times New Roman" w:hAnsi="Times New Roman" w:cs="Times New Roman"/>
          <w:sz w:val="24"/>
          <w:szCs w:val="24"/>
          <w:vertAlign w:val="superscript"/>
        </w:rPr>
        <w:t>3</w:t>
      </w:r>
      <w:r w:rsidRPr="00D53A7A">
        <w:rPr>
          <w:rFonts w:ascii="Times New Roman" w:hAnsi="Times New Roman" w:cs="Times New Roman"/>
          <w:sz w:val="24"/>
          <w:szCs w:val="24"/>
        </w:rPr>
        <w:t xml:space="preserve"> Informações de registros do uso de imunobiológicos indicam que até 30% dos pacientes fazem uso de DMCD biológicas em monoterapia.</w:t>
      </w:r>
      <w:r w:rsidRPr="00D53A7A">
        <w:rPr>
          <w:rFonts w:ascii="Times New Roman" w:hAnsi="Times New Roman" w:cs="Times New Roman"/>
          <w:sz w:val="24"/>
          <w:szCs w:val="24"/>
          <w:vertAlign w:val="superscript"/>
        </w:rPr>
        <w:t>1</w:t>
      </w:r>
      <w:r w:rsidR="00BA78F6">
        <w:rPr>
          <w:rFonts w:ascii="Times New Roman" w:hAnsi="Times New Roman" w:cs="Times New Roman"/>
          <w:sz w:val="24"/>
          <w:szCs w:val="24"/>
          <w:vertAlign w:val="superscript"/>
        </w:rPr>
        <w:t>5</w:t>
      </w:r>
      <w:r w:rsidRPr="00D53A7A">
        <w:rPr>
          <w:rFonts w:ascii="Times New Roman" w:hAnsi="Times New Roman" w:cs="Times New Roman"/>
          <w:sz w:val="24"/>
          <w:szCs w:val="24"/>
        </w:rPr>
        <w:t xml:space="preserve"> Em nossa coorte, encontramos taxa de monoterapia de 20% na última consulta, sendo o tocilizumabe o mais usado isoladamente sem droga sintética.</w:t>
      </w:r>
    </w:p>
    <w:p w:rsidR="00B4610D" w:rsidRPr="00D53A7A" w:rsidRDefault="00B4610D" w:rsidP="00D53A7A">
      <w:pPr>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As causas mais comuns de suspensão dos imunobiológicos foram a ocorrência de</w:t>
      </w:r>
      <w:r w:rsidR="00596FEC">
        <w:rPr>
          <w:rFonts w:ascii="Times New Roman" w:hAnsi="Times New Roman" w:cs="Times New Roman"/>
          <w:sz w:val="24"/>
          <w:szCs w:val="24"/>
        </w:rPr>
        <w:t xml:space="preserve"> não resposta</w:t>
      </w:r>
      <w:r w:rsidRPr="00D53A7A">
        <w:rPr>
          <w:rFonts w:ascii="Times New Roman" w:hAnsi="Times New Roman" w:cs="Times New Roman"/>
          <w:sz w:val="24"/>
          <w:szCs w:val="24"/>
        </w:rPr>
        <w:t>, seguida de eventos adversos, conforme o descrito no registro brasileiro do uso de imunobiológicos.</w:t>
      </w:r>
      <w:r w:rsidRPr="00D53A7A">
        <w:rPr>
          <w:rFonts w:ascii="Times New Roman" w:hAnsi="Times New Roman" w:cs="Times New Roman"/>
          <w:sz w:val="24"/>
          <w:szCs w:val="24"/>
          <w:vertAlign w:val="superscript"/>
        </w:rPr>
        <w:t>1</w:t>
      </w:r>
      <w:r w:rsidR="00BA78F6">
        <w:rPr>
          <w:rFonts w:ascii="Times New Roman" w:hAnsi="Times New Roman" w:cs="Times New Roman"/>
          <w:sz w:val="24"/>
          <w:szCs w:val="24"/>
          <w:vertAlign w:val="superscript"/>
        </w:rPr>
        <w:t>6</w:t>
      </w:r>
      <w:r w:rsidRPr="00D53A7A">
        <w:rPr>
          <w:rFonts w:ascii="Times New Roman" w:hAnsi="Times New Roman" w:cs="Times New Roman"/>
          <w:sz w:val="24"/>
          <w:szCs w:val="24"/>
        </w:rPr>
        <w:t xml:space="preserve"> Os eventos adversos mais descritos para a DMCD biológicas são as infecções e as reações infusionais, o que está de acordo com nossos resultados. </w:t>
      </w:r>
    </w:p>
    <w:p w:rsidR="00B4610D" w:rsidRPr="00D53A7A" w:rsidRDefault="00B4610D" w:rsidP="00D53A7A">
      <w:pPr>
        <w:spacing w:line="480" w:lineRule="auto"/>
        <w:ind w:left="-284" w:right="-285"/>
        <w:rPr>
          <w:rFonts w:ascii="Times New Roman" w:hAnsi="Times New Roman" w:cs="Times New Roman"/>
          <w:color w:val="FF0000"/>
          <w:sz w:val="24"/>
          <w:szCs w:val="24"/>
        </w:rPr>
      </w:pPr>
      <w:r w:rsidRPr="00D53A7A">
        <w:rPr>
          <w:rFonts w:ascii="Times New Roman" w:hAnsi="Times New Roman" w:cs="Times New Roman"/>
          <w:sz w:val="24"/>
          <w:szCs w:val="24"/>
        </w:rPr>
        <w:lastRenderedPageBreak/>
        <w:tab/>
        <w:t>Mais da metade dos pacientes de nossa amostra utilizaram a isoniazida para t</w:t>
      </w:r>
      <w:r w:rsidR="000C0DD4">
        <w:rPr>
          <w:rFonts w:ascii="Times New Roman" w:hAnsi="Times New Roman" w:cs="Times New Roman"/>
          <w:sz w:val="24"/>
          <w:szCs w:val="24"/>
        </w:rPr>
        <w:t>ratamento de LTB</w:t>
      </w:r>
      <w:r w:rsidRPr="00D53A7A">
        <w:rPr>
          <w:rFonts w:ascii="Times New Roman" w:hAnsi="Times New Roman" w:cs="Times New Roman"/>
          <w:sz w:val="24"/>
          <w:szCs w:val="24"/>
        </w:rPr>
        <w:t>. Notamos uma alta porcentagem de pacientes com epidemiologia de contato com TB (50%) e PPD &gt; 5mm (75%). Foi registrado um caso de reativação de TB extrapulmonar (peritoneal) nesta coorte. Estudos mostram o aumento no risco relativo de infecção por TB em pacientes tratados com imunobiológicos comparado à população geral (OR 3,73; IC 95%: 1,72-8,13)</w:t>
      </w:r>
      <w:r w:rsidRPr="00D53A7A">
        <w:rPr>
          <w:rFonts w:ascii="Times New Roman" w:hAnsi="Times New Roman" w:cs="Times New Roman"/>
          <w:sz w:val="24"/>
          <w:szCs w:val="24"/>
          <w:vertAlign w:val="superscript"/>
        </w:rPr>
        <w:t>5</w:t>
      </w:r>
      <w:r w:rsidRPr="00D53A7A">
        <w:rPr>
          <w:rFonts w:ascii="Times New Roman" w:hAnsi="Times New Roman" w:cs="Times New Roman"/>
          <w:sz w:val="24"/>
          <w:szCs w:val="24"/>
        </w:rPr>
        <w:t xml:space="preserve"> e àqueles em tratamento com drogas sintéticas (OR</w:t>
      </w:r>
      <w:r w:rsidRPr="00D53A7A">
        <w:rPr>
          <w:rFonts w:ascii="Times New Roman" w:eastAsia="Times New Roman" w:hAnsi="Times New Roman" w:cs="Times New Roman"/>
          <w:sz w:val="24"/>
          <w:szCs w:val="24"/>
          <w:lang w:eastAsia="pt-BR"/>
        </w:rPr>
        <w:t xml:space="preserve"> 2,67; IC 95%: 2,12-3,34).</w:t>
      </w:r>
      <w:r w:rsidRPr="00D53A7A">
        <w:rPr>
          <w:rFonts w:ascii="Times New Roman" w:eastAsia="Times New Roman" w:hAnsi="Times New Roman" w:cs="Times New Roman"/>
          <w:sz w:val="24"/>
          <w:szCs w:val="24"/>
          <w:vertAlign w:val="superscript"/>
          <w:lang w:eastAsia="pt-BR"/>
        </w:rPr>
        <w:t>1</w:t>
      </w:r>
      <w:r w:rsidR="00BA78F6">
        <w:rPr>
          <w:rFonts w:ascii="Times New Roman" w:eastAsia="Times New Roman" w:hAnsi="Times New Roman" w:cs="Times New Roman"/>
          <w:sz w:val="24"/>
          <w:szCs w:val="24"/>
          <w:vertAlign w:val="superscript"/>
          <w:lang w:eastAsia="pt-BR"/>
        </w:rPr>
        <w:t>7</w:t>
      </w:r>
      <w:r w:rsidRPr="00D53A7A">
        <w:rPr>
          <w:rFonts w:ascii="Times New Roman" w:hAnsi="Times New Roman" w:cs="Times New Roman"/>
          <w:sz w:val="24"/>
          <w:szCs w:val="24"/>
        </w:rPr>
        <w:t xml:space="preserve"> Risco maior se associa aos </w:t>
      </w:r>
      <w:r w:rsidR="00A93CD5">
        <w:rPr>
          <w:rFonts w:ascii="Times New Roman" w:hAnsi="Times New Roman" w:cs="Times New Roman"/>
          <w:sz w:val="24"/>
          <w:szCs w:val="24"/>
        </w:rPr>
        <w:t xml:space="preserve">    </w:t>
      </w:r>
      <w:r w:rsidRPr="00D53A7A">
        <w:rPr>
          <w:rFonts w:ascii="Times New Roman" w:hAnsi="Times New Roman" w:cs="Times New Roman"/>
          <w:sz w:val="24"/>
          <w:szCs w:val="24"/>
        </w:rPr>
        <w:t>anti</w:t>
      </w:r>
      <w:r w:rsidR="00A93CD5">
        <w:rPr>
          <w:rFonts w:ascii="Times New Roman" w:hAnsi="Times New Roman" w:cs="Times New Roman"/>
          <w:sz w:val="24"/>
          <w:szCs w:val="24"/>
        </w:rPr>
        <w:t>-</w:t>
      </w:r>
      <w:r w:rsidRPr="00D53A7A">
        <w:rPr>
          <w:rFonts w:ascii="Times New Roman" w:hAnsi="Times New Roman" w:cs="Times New Roman"/>
          <w:sz w:val="24"/>
          <w:szCs w:val="24"/>
        </w:rPr>
        <w:t>TNF, notadamente tipo anticorpo monoclonal no primeiro ano de tratamento. Sabe-se que o tratamento de LTB com isoniazida diminui o risco de TB em apenas 60%.</w:t>
      </w:r>
      <w:r w:rsidRPr="00D53A7A">
        <w:rPr>
          <w:rFonts w:ascii="Times New Roman" w:hAnsi="Times New Roman" w:cs="Times New Roman"/>
          <w:color w:val="000000" w:themeColor="text1"/>
          <w:sz w:val="24"/>
          <w:szCs w:val="24"/>
          <w:vertAlign w:val="superscript"/>
        </w:rPr>
        <w:t>1</w:t>
      </w:r>
      <w:r w:rsidR="00BA78F6">
        <w:rPr>
          <w:rFonts w:ascii="Times New Roman" w:hAnsi="Times New Roman" w:cs="Times New Roman"/>
          <w:color w:val="000000" w:themeColor="text1"/>
          <w:sz w:val="24"/>
          <w:szCs w:val="24"/>
          <w:vertAlign w:val="superscript"/>
        </w:rPr>
        <w:t>8</w:t>
      </w:r>
      <w:r w:rsidRPr="00D53A7A">
        <w:rPr>
          <w:rFonts w:ascii="Times New Roman" w:hAnsi="Times New Roman" w:cs="Times New Roman"/>
          <w:sz w:val="24"/>
          <w:szCs w:val="24"/>
        </w:rPr>
        <w:t xml:space="preserve"> Estes dados enfatizam a importância de investigar todos os pacientes para LTB antes do início da terapia com imunobiológicos, além de vigiar surgimento de infecção ativa na vigência do tratamento.</w:t>
      </w:r>
    </w:p>
    <w:p w:rsidR="00B4610D" w:rsidRPr="00D53A7A" w:rsidRDefault="00B4610D" w:rsidP="00D53A7A">
      <w:pPr>
        <w:pStyle w:val="Textodecomentrio"/>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Em nosso estudo, observamos um DAS28 médio na última consulta de 4,18, que traduz atividade de doença moderada. A</w:t>
      </w:r>
      <w:r w:rsidR="000C0DD4">
        <w:rPr>
          <w:rFonts w:ascii="Times New Roman" w:hAnsi="Times New Roman" w:cs="Times New Roman"/>
          <w:sz w:val="24"/>
          <w:szCs w:val="24"/>
        </w:rPr>
        <w:t xml:space="preserve"> taxa de remissão</w:t>
      </w:r>
      <w:r w:rsidRPr="00D53A7A">
        <w:rPr>
          <w:rFonts w:ascii="Times New Roman" w:hAnsi="Times New Roman" w:cs="Times New Roman"/>
          <w:sz w:val="24"/>
          <w:szCs w:val="24"/>
        </w:rPr>
        <w:t xml:space="preserve"> foi de 22,5% e a de a</w:t>
      </w:r>
      <w:r w:rsidR="000C0DD4">
        <w:rPr>
          <w:rFonts w:ascii="Times New Roman" w:hAnsi="Times New Roman" w:cs="Times New Roman"/>
          <w:sz w:val="24"/>
          <w:szCs w:val="24"/>
        </w:rPr>
        <w:t>tividade leve,</w:t>
      </w:r>
      <w:r w:rsidRPr="00D53A7A">
        <w:rPr>
          <w:rFonts w:ascii="Times New Roman" w:hAnsi="Times New Roman" w:cs="Times New Roman"/>
          <w:sz w:val="24"/>
          <w:szCs w:val="24"/>
        </w:rPr>
        <w:t xml:space="preserve"> 32%. Em estudos de coorte no Canadá e na Holanda são descritas taxas de remissão de 35% e 27%, respectivamente.</w:t>
      </w:r>
      <w:r w:rsidR="00BA78F6">
        <w:rPr>
          <w:rFonts w:ascii="Times New Roman" w:hAnsi="Times New Roman" w:cs="Times New Roman"/>
          <w:sz w:val="24"/>
          <w:szCs w:val="24"/>
          <w:vertAlign w:val="superscript"/>
        </w:rPr>
        <w:t>19</w:t>
      </w:r>
      <w:r w:rsidRPr="00D53A7A">
        <w:rPr>
          <w:rFonts w:ascii="Times New Roman" w:hAnsi="Times New Roman" w:cs="Times New Roman"/>
          <w:sz w:val="24"/>
          <w:szCs w:val="24"/>
        </w:rPr>
        <w:t xml:space="preserve"> </w:t>
      </w:r>
    </w:p>
    <w:p w:rsidR="00B4610D" w:rsidRPr="00D53A7A" w:rsidRDefault="00B4610D" w:rsidP="00D53A7A">
      <w:pPr>
        <w:pStyle w:val="Textodecomentrio"/>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Deste fato surgem alguns questionamentos: nossos pacientes são não respondedores por terem doença arti</w:t>
      </w:r>
      <w:r w:rsidR="000C0DD4">
        <w:rPr>
          <w:rFonts w:ascii="Times New Roman" w:hAnsi="Times New Roman" w:cs="Times New Roman"/>
          <w:sz w:val="24"/>
          <w:szCs w:val="24"/>
        </w:rPr>
        <w:t>cular mais grave? Existe</w:t>
      </w:r>
      <w:r w:rsidRPr="00D53A7A">
        <w:rPr>
          <w:rFonts w:ascii="Times New Roman" w:hAnsi="Times New Roman" w:cs="Times New Roman"/>
          <w:sz w:val="24"/>
          <w:szCs w:val="24"/>
        </w:rPr>
        <w:t xml:space="preserve"> adesão à medicação prescrita?</w:t>
      </w:r>
      <w:r w:rsidR="000C0DD4">
        <w:rPr>
          <w:rFonts w:ascii="Times New Roman" w:hAnsi="Times New Roman" w:cs="Times New Roman"/>
          <w:sz w:val="24"/>
          <w:szCs w:val="24"/>
        </w:rPr>
        <w:t xml:space="preserve"> Há compreensão pelos pacientes</w:t>
      </w:r>
      <w:r w:rsidRPr="00D53A7A">
        <w:rPr>
          <w:rFonts w:ascii="Times New Roman" w:hAnsi="Times New Roman" w:cs="Times New Roman"/>
          <w:sz w:val="24"/>
          <w:szCs w:val="24"/>
        </w:rPr>
        <w:t xml:space="preserve"> quanto à autoavaliação na escala visual analógica de dor (EVA) utilizada no DAS 28? Segundo Chu LH et al, alguns fatores estão associados à pior adesão ao tratamento. Entre eles estão raça afroamericana (OR 1,49; IC 95%: 1,03-2,71) e a presença de comorbidades (OR 1,24; IC 95%: 1,01-1,57). Por outro lado, uso de corticoides (OR 0,80; IC 95%: 0,63-0,98) e prática de terapia ocupacional ou fisioterapia concomitantes (OR 0,66; IC 95%: 0,46-0,93) foram fatores contribuidores para adesão.</w:t>
      </w:r>
      <w:r w:rsidRPr="00D53A7A">
        <w:rPr>
          <w:rFonts w:ascii="Times New Roman" w:hAnsi="Times New Roman" w:cs="Times New Roman"/>
          <w:sz w:val="24"/>
          <w:szCs w:val="24"/>
          <w:vertAlign w:val="superscript"/>
        </w:rPr>
        <w:t>2</w:t>
      </w:r>
      <w:r w:rsidR="00284075">
        <w:rPr>
          <w:rFonts w:ascii="Times New Roman" w:hAnsi="Times New Roman" w:cs="Times New Roman"/>
          <w:sz w:val="24"/>
          <w:szCs w:val="24"/>
          <w:vertAlign w:val="superscript"/>
        </w:rPr>
        <w:t>0</w:t>
      </w:r>
      <w:r w:rsidRPr="00D53A7A">
        <w:rPr>
          <w:rFonts w:ascii="Times New Roman" w:hAnsi="Times New Roman" w:cs="Times New Roman"/>
          <w:sz w:val="24"/>
          <w:szCs w:val="24"/>
        </w:rPr>
        <w:t xml:space="preserve">. Em nossa amostra, embora </w:t>
      </w:r>
      <w:r w:rsidR="008D53EF" w:rsidRPr="00D53A7A">
        <w:rPr>
          <w:rFonts w:ascii="Times New Roman" w:hAnsi="Times New Roman" w:cs="Times New Roman"/>
          <w:sz w:val="24"/>
          <w:szCs w:val="24"/>
        </w:rPr>
        <w:t>a maioria dos p</w:t>
      </w:r>
      <w:r w:rsidR="008D53EF">
        <w:rPr>
          <w:rFonts w:ascii="Times New Roman" w:hAnsi="Times New Roman" w:cs="Times New Roman"/>
          <w:sz w:val="24"/>
          <w:szCs w:val="24"/>
        </w:rPr>
        <w:t>acientes fizesse</w:t>
      </w:r>
      <w:r w:rsidR="00A93CD5">
        <w:rPr>
          <w:rFonts w:ascii="Times New Roman" w:hAnsi="Times New Roman" w:cs="Times New Roman"/>
          <w:sz w:val="24"/>
          <w:szCs w:val="24"/>
        </w:rPr>
        <w:t xml:space="preserve"> uso de cortico</w:t>
      </w:r>
      <w:r w:rsidRPr="00D53A7A">
        <w:rPr>
          <w:rFonts w:ascii="Times New Roman" w:hAnsi="Times New Roman" w:cs="Times New Roman"/>
          <w:sz w:val="24"/>
          <w:szCs w:val="24"/>
        </w:rPr>
        <w:t>ide, percebemos predominância de baixo nível socioeconômico, raça não branca e alta percentagem de comorbidades associadas. Talvez, estes fatores tenham contribuído</w:t>
      </w:r>
      <w:r w:rsidRPr="00D53A7A">
        <w:rPr>
          <w:rFonts w:ascii="Times New Roman" w:hAnsi="Times New Roman" w:cs="Times New Roman"/>
          <w:sz w:val="24"/>
          <w:szCs w:val="24"/>
        </w:rPr>
        <w:tab/>
        <w:t xml:space="preserve"> para a manutenção de atividade da doença quando medida por métrica internacional padronizada.  </w:t>
      </w:r>
    </w:p>
    <w:p w:rsidR="00B4610D" w:rsidRPr="00DE79D6" w:rsidRDefault="00B4610D" w:rsidP="00D53A7A">
      <w:pPr>
        <w:spacing w:line="480" w:lineRule="auto"/>
        <w:ind w:left="-284" w:right="-285"/>
        <w:rPr>
          <w:rFonts w:ascii="Times New Roman" w:hAnsi="Times New Roman" w:cs="Times New Roman"/>
          <w:b/>
          <w:sz w:val="24"/>
          <w:szCs w:val="24"/>
        </w:rPr>
      </w:pPr>
      <w:r w:rsidRPr="00DE79D6">
        <w:rPr>
          <w:rFonts w:ascii="Times New Roman" w:hAnsi="Times New Roman" w:cs="Times New Roman"/>
          <w:b/>
          <w:sz w:val="24"/>
          <w:szCs w:val="24"/>
        </w:rPr>
        <w:lastRenderedPageBreak/>
        <w:t>Conclusões</w:t>
      </w:r>
    </w:p>
    <w:p w:rsidR="00B4610D" w:rsidRPr="00D53A7A" w:rsidRDefault="00B4610D" w:rsidP="00D53A7A">
      <w:pPr>
        <w:tabs>
          <w:tab w:val="num" w:pos="720"/>
        </w:tabs>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O uso de imunobiológicos no tratamento da artrite reumatoide tem ficado cada vez mais acessível, para o subgrupo de pacientes não respondedores a DMCD sintéticas. Avaliamos um grupo de pacientes com doença grave e de longo tempo de evolução, com baixo nível socioeconômico em sua maioria. Os biológicos mais utilizados foram os antiTNF. As causas mais comuns para suspensão de imunobiológicos foram reação adversa e não resposta. As principais reações adversas foram infecções e reações infusionais. Na última consulta, a maioria dos pacientes estava em uso de terapia combinada de DMCD sintética e biológica, mas apesar disto, apenas um terço deles atingiu alvo terapêutico. Cerca de metade dos pacientes apresentaram screening positivo para TB latente e fizeram tratamento com isoniazida.</w:t>
      </w:r>
    </w:p>
    <w:p w:rsidR="00B4610D" w:rsidRPr="00D53A7A" w:rsidRDefault="00B4610D" w:rsidP="00D53A7A">
      <w:pPr>
        <w:tabs>
          <w:tab w:val="num" w:pos="720"/>
        </w:tabs>
        <w:spacing w:line="480" w:lineRule="auto"/>
        <w:ind w:left="-284" w:right="-285"/>
        <w:rPr>
          <w:rFonts w:ascii="Times New Roman" w:hAnsi="Times New Roman" w:cs="Times New Roman"/>
          <w:sz w:val="24"/>
          <w:szCs w:val="24"/>
        </w:rPr>
      </w:pPr>
      <w:r w:rsidRPr="00D53A7A">
        <w:rPr>
          <w:rFonts w:ascii="Times New Roman" w:hAnsi="Times New Roman" w:cs="Times New Roman"/>
          <w:sz w:val="24"/>
          <w:szCs w:val="24"/>
        </w:rPr>
        <w:tab/>
        <w:t xml:space="preserve">O perfil de uso dos agentes biológicos no tratamento </w:t>
      </w:r>
      <w:r w:rsidR="00D91607">
        <w:rPr>
          <w:rFonts w:ascii="Times New Roman" w:hAnsi="Times New Roman" w:cs="Times New Roman"/>
          <w:sz w:val="24"/>
          <w:szCs w:val="24"/>
        </w:rPr>
        <w:t>dos pacientes com</w:t>
      </w:r>
      <w:r w:rsidR="00F12FFA">
        <w:rPr>
          <w:rFonts w:ascii="Times New Roman" w:hAnsi="Times New Roman" w:cs="Times New Roman"/>
          <w:sz w:val="24"/>
          <w:szCs w:val="24"/>
        </w:rPr>
        <w:t xml:space="preserve"> artrite reumatoide</w:t>
      </w:r>
      <w:r w:rsidRPr="00D53A7A">
        <w:rPr>
          <w:rFonts w:ascii="Times New Roman" w:hAnsi="Times New Roman" w:cs="Times New Roman"/>
          <w:sz w:val="24"/>
          <w:szCs w:val="24"/>
        </w:rPr>
        <w:t xml:space="preserve"> seguidos no serviço de Reumatologia do HUWC-UFC encontra-se em concordância com as recomendações clínicas nacionais e internacionais.</w:t>
      </w:r>
    </w:p>
    <w:p w:rsidR="00DE79D6" w:rsidRPr="00D91607" w:rsidRDefault="00DE79D6" w:rsidP="00573AA0">
      <w:pPr>
        <w:spacing w:line="480" w:lineRule="auto"/>
        <w:rPr>
          <w:rFonts w:ascii="Times New Roman" w:hAnsi="Times New Roman" w:cs="Times New Roman"/>
          <w:b/>
          <w:sz w:val="24"/>
          <w:szCs w:val="24"/>
          <w:u w:val="single"/>
        </w:rPr>
      </w:pPr>
    </w:p>
    <w:p w:rsidR="00DE79D6" w:rsidRPr="00D91607" w:rsidRDefault="00DE79D6" w:rsidP="00573AA0">
      <w:pPr>
        <w:spacing w:line="480" w:lineRule="auto"/>
        <w:rPr>
          <w:rFonts w:ascii="Times New Roman" w:hAnsi="Times New Roman" w:cs="Times New Roman"/>
          <w:b/>
          <w:sz w:val="24"/>
          <w:szCs w:val="24"/>
          <w:u w:val="single"/>
        </w:rPr>
      </w:pPr>
    </w:p>
    <w:p w:rsidR="00DE79D6" w:rsidRPr="00D91607" w:rsidRDefault="00DE79D6" w:rsidP="00573AA0">
      <w:pPr>
        <w:spacing w:line="480" w:lineRule="auto"/>
        <w:rPr>
          <w:rFonts w:ascii="Times New Roman" w:hAnsi="Times New Roman" w:cs="Times New Roman"/>
          <w:b/>
          <w:sz w:val="24"/>
          <w:szCs w:val="24"/>
          <w:u w:val="single"/>
        </w:rPr>
      </w:pPr>
    </w:p>
    <w:p w:rsidR="00DE79D6" w:rsidRPr="00D91607" w:rsidRDefault="00DE79D6" w:rsidP="00573AA0">
      <w:pPr>
        <w:spacing w:line="480" w:lineRule="auto"/>
        <w:rPr>
          <w:rFonts w:ascii="Times New Roman" w:hAnsi="Times New Roman" w:cs="Times New Roman"/>
          <w:b/>
          <w:sz w:val="24"/>
          <w:szCs w:val="24"/>
          <w:u w:val="single"/>
        </w:rPr>
      </w:pPr>
    </w:p>
    <w:p w:rsidR="00DE79D6" w:rsidRPr="00D91607" w:rsidRDefault="00DE79D6" w:rsidP="00573AA0">
      <w:pPr>
        <w:spacing w:line="480" w:lineRule="auto"/>
        <w:rPr>
          <w:rFonts w:ascii="Times New Roman" w:hAnsi="Times New Roman" w:cs="Times New Roman"/>
          <w:b/>
          <w:sz w:val="24"/>
          <w:szCs w:val="24"/>
          <w:u w:val="single"/>
        </w:rPr>
      </w:pPr>
    </w:p>
    <w:p w:rsidR="00DE79D6" w:rsidRPr="00D91607" w:rsidRDefault="00DE79D6" w:rsidP="00573AA0">
      <w:pPr>
        <w:spacing w:line="480" w:lineRule="auto"/>
        <w:rPr>
          <w:rFonts w:ascii="Times New Roman" w:hAnsi="Times New Roman" w:cs="Times New Roman"/>
          <w:b/>
          <w:sz w:val="24"/>
          <w:szCs w:val="24"/>
          <w:u w:val="single"/>
        </w:rPr>
      </w:pPr>
    </w:p>
    <w:p w:rsidR="00DE79D6" w:rsidRPr="00D91607" w:rsidRDefault="00DE79D6" w:rsidP="00573AA0">
      <w:pPr>
        <w:spacing w:line="480" w:lineRule="auto"/>
        <w:rPr>
          <w:rFonts w:ascii="Times New Roman" w:hAnsi="Times New Roman" w:cs="Times New Roman"/>
          <w:b/>
          <w:sz w:val="24"/>
          <w:szCs w:val="24"/>
          <w:u w:val="single"/>
        </w:rPr>
      </w:pPr>
    </w:p>
    <w:p w:rsidR="00DE79D6" w:rsidRPr="00D91607" w:rsidRDefault="00DE79D6" w:rsidP="00573AA0">
      <w:pPr>
        <w:spacing w:line="480" w:lineRule="auto"/>
        <w:rPr>
          <w:rFonts w:ascii="Times New Roman" w:hAnsi="Times New Roman" w:cs="Times New Roman"/>
          <w:b/>
          <w:sz w:val="24"/>
          <w:szCs w:val="24"/>
        </w:rPr>
      </w:pPr>
    </w:p>
    <w:p w:rsidR="00B4610D" w:rsidRPr="00D91607" w:rsidRDefault="00B4610D" w:rsidP="00573AA0">
      <w:pPr>
        <w:spacing w:line="480" w:lineRule="auto"/>
        <w:rPr>
          <w:rFonts w:ascii="Times New Roman" w:hAnsi="Times New Roman" w:cs="Times New Roman"/>
          <w:sz w:val="24"/>
          <w:szCs w:val="24"/>
        </w:rPr>
      </w:pPr>
      <w:r w:rsidRPr="00D91607">
        <w:rPr>
          <w:rFonts w:ascii="Times New Roman" w:hAnsi="Times New Roman" w:cs="Times New Roman"/>
          <w:b/>
          <w:sz w:val="24"/>
          <w:szCs w:val="24"/>
          <w:lang w:val="en-US"/>
        </w:rPr>
        <w:lastRenderedPageBreak/>
        <w:t>Referências</w:t>
      </w:r>
    </w:p>
    <w:p w:rsidR="00B4610D" w:rsidRPr="00573AA0" w:rsidRDefault="00B4610D" w:rsidP="00573AA0">
      <w:pPr>
        <w:pStyle w:val="PargrafodaLista"/>
        <w:numPr>
          <w:ilvl w:val="0"/>
          <w:numId w:val="1"/>
        </w:numPr>
        <w:spacing w:line="480" w:lineRule="auto"/>
        <w:ind w:left="0" w:firstLine="0"/>
        <w:rPr>
          <w:rFonts w:ascii="Times New Roman" w:hAnsi="Times New Roman" w:cs="Times New Roman"/>
          <w:sz w:val="24"/>
          <w:szCs w:val="24"/>
          <w:lang w:val="en-US"/>
        </w:rPr>
      </w:pPr>
      <w:r w:rsidRPr="00573AA0">
        <w:rPr>
          <w:rFonts w:ascii="Times New Roman" w:hAnsi="Times New Roman" w:cs="Times New Roman"/>
          <w:sz w:val="24"/>
          <w:szCs w:val="24"/>
        </w:rPr>
        <w:t xml:space="preserve">da Mota LMH, Cruz BA, Brenol CV, Pereira IA, Rezende-Fronza LS, Bertolo MB et al. </w:t>
      </w:r>
      <w:r w:rsidR="00442984" w:rsidRPr="00573AA0">
        <w:rPr>
          <w:rFonts w:ascii="Times New Roman" w:hAnsi="Times New Roman" w:cs="Times New Roman"/>
          <w:sz w:val="24"/>
          <w:szCs w:val="24"/>
          <w:lang w:val="en-US"/>
        </w:rPr>
        <w:t>[</w:t>
      </w:r>
      <w:r w:rsidRPr="00573AA0">
        <w:rPr>
          <w:rFonts w:ascii="Times New Roman" w:hAnsi="Times New Roman" w:cs="Times New Roman"/>
          <w:sz w:val="24"/>
          <w:szCs w:val="24"/>
          <w:lang w:val="en-US"/>
        </w:rPr>
        <w:t>Brazilian Society of Rheumatology Consensus for the treatment of rheumatoid arthritis</w:t>
      </w:r>
      <w:r w:rsidR="00442984" w:rsidRPr="00573AA0">
        <w:rPr>
          <w:rFonts w:ascii="Times New Roman" w:hAnsi="Times New Roman" w:cs="Times New Roman"/>
          <w:sz w:val="24"/>
          <w:szCs w:val="24"/>
          <w:lang w:val="en-US"/>
        </w:rPr>
        <w:t>]</w:t>
      </w:r>
      <w:r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Rev Bras Reumatol. 2012</w:t>
      </w:r>
      <w:r w:rsidRPr="00573AA0">
        <w:rPr>
          <w:rFonts w:ascii="Times New Roman" w:hAnsi="Times New Roman" w:cs="Times New Roman"/>
          <w:sz w:val="24"/>
          <w:szCs w:val="24"/>
          <w:lang w:val="en-US"/>
        </w:rPr>
        <w:t>; 52(2):152-74</w:t>
      </w:r>
      <w:r w:rsidR="00442984" w:rsidRPr="00573AA0">
        <w:rPr>
          <w:rFonts w:ascii="Times New Roman" w:hAnsi="Times New Roman" w:cs="Times New Roman"/>
          <w:sz w:val="24"/>
          <w:szCs w:val="24"/>
          <w:lang w:val="en-US"/>
        </w:rPr>
        <w:t>. Portuguese.</w:t>
      </w:r>
    </w:p>
    <w:p w:rsidR="00B4610D" w:rsidRPr="00573AA0" w:rsidRDefault="00B4610D" w:rsidP="00573AA0">
      <w:pPr>
        <w:pStyle w:val="PargrafodaLista"/>
        <w:numPr>
          <w:ilvl w:val="0"/>
          <w:numId w:val="1"/>
        </w:numPr>
        <w:spacing w:line="480" w:lineRule="auto"/>
        <w:ind w:left="0" w:firstLine="0"/>
        <w:rPr>
          <w:rFonts w:ascii="Times New Roman" w:hAnsi="Times New Roman" w:cs="Times New Roman"/>
          <w:sz w:val="24"/>
          <w:szCs w:val="24"/>
          <w:lang w:val="en-US"/>
        </w:rPr>
      </w:pPr>
      <w:r w:rsidRPr="00573AA0">
        <w:rPr>
          <w:rFonts w:ascii="Times New Roman" w:hAnsi="Times New Roman" w:cs="Times New Roman"/>
          <w:sz w:val="24"/>
          <w:szCs w:val="24"/>
          <w:lang w:val="en-US"/>
        </w:rPr>
        <w:t>Smolen JS, Landewé R, Breedveld FC, Buch M, Burmester G, Dougados M et al. EULAR recommendations for the management of rheumatoid arthritis with synthetic and biological disease-modifying antirheumatic drugs: 201</w:t>
      </w:r>
      <w:r w:rsidR="00442984" w:rsidRPr="00573AA0">
        <w:rPr>
          <w:rFonts w:ascii="Times New Roman" w:hAnsi="Times New Roman" w:cs="Times New Roman"/>
          <w:sz w:val="24"/>
          <w:szCs w:val="24"/>
          <w:lang w:val="en-US"/>
        </w:rPr>
        <w:t>3 update.</w:t>
      </w:r>
      <w:r w:rsidRPr="00573AA0">
        <w:rPr>
          <w:rFonts w:ascii="Times New Roman" w:hAnsi="Times New Roman" w:cs="Times New Roman"/>
          <w:sz w:val="24"/>
          <w:szCs w:val="24"/>
          <w:lang w:val="en-US"/>
        </w:rPr>
        <w:t xml:space="preserve"> Ann Rheum Dis</w:t>
      </w:r>
      <w:r w:rsidR="00442984" w:rsidRPr="00573AA0">
        <w:rPr>
          <w:rFonts w:ascii="Times New Roman" w:hAnsi="Times New Roman" w:cs="Times New Roman"/>
          <w:sz w:val="24"/>
          <w:szCs w:val="24"/>
          <w:lang w:val="en-US"/>
        </w:rPr>
        <w:t>.</w:t>
      </w:r>
      <w:r w:rsidRPr="00573AA0">
        <w:rPr>
          <w:rFonts w:ascii="Times New Roman" w:hAnsi="Times New Roman" w:cs="Times New Roman"/>
          <w:sz w:val="24"/>
          <w:szCs w:val="24"/>
          <w:lang w:val="en-US"/>
        </w:rPr>
        <w:t xml:space="preserve"> 2014; 73: 492-509, </w:t>
      </w:r>
    </w:p>
    <w:p w:rsidR="00B4610D" w:rsidRPr="00573AA0" w:rsidRDefault="00B4610D" w:rsidP="00573AA0">
      <w:pPr>
        <w:pStyle w:val="PargrafodaLista"/>
        <w:numPr>
          <w:ilvl w:val="0"/>
          <w:numId w:val="1"/>
        </w:numPr>
        <w:spacing w:line="480" w:lineRule="auto"/>
        <w:ind w:left="0" w:firstLine="0"/>
        <w:rPr>
          <w:rFonts w:ascii="Times New Roman" w:hAnsi="Times New Roman" w:cs="Times New Roman"/>
          <w:sz w:val="24"/>
          <w:szCs w:val="24"/>
          <w:lang w:val="en-US"/>
        </w:rPr>
      </w:pPr>
      <w:r w:rsidRPr="00573AA0">
        <w:rPr>
          <w:rFonts w:ascii="Times New Roman" w:hAnsi="Times New Roman" w:cs="Times New Roman"/>
          <w:sz w:val="24"/>
          <w:szCs w:val="24"/>
          <w:lang w:val="en-US"/>
        </w:rPr>
        <w:t xml:space="preserve">da Mota LM, Cruz BA, Brenol CV, Pereira IA, Fronza LS, Bertolo MB et al. 2011 </w:t>
      </w:r>
      <w:r w:rsidR="00442984" w:rsidRPr="00573AA0">
        <w:rPr>
          <w:rFonts w:ascii="Times New Roman" w:hAnsi="Times New Roman" w:cs="Times New Roman"/>
          <w:sz w:val="24"/>
          <w:szCs w:val="24"/>
          <w:lang w:val="en-US"/>
        </w:rPr>
        <w:t>[</w:t>
      </w:r>
      <w:r w:rsidRPr="00573AA0">
        <w:rPr>
          <w:rFonts w:ascii="Times New Roman" w:hAnsi="Times New Roman" w:cs="Times New Roman"/>
          <w:sz w:val="24"/>
          <w:szCs w:val="24"/>
          <w:lang w:val="en-US"/>
        </w:rPr>
        <w:t>Consensus of the Brazilian Society of Rheumatology for diagnosis and early assessment of rheumatoid ar</w:t>
      </w:r>
      <w:r w:rsidR="00442984" w:rsidRPr="00573AA0">
        <w:rPr>
          <w:rFonts w:ascii="Times New Roman" w:hAnsi="Times New Roman" w:cs="Times New Roman"/>
          <w:sz w:val="24"/>
          <w:szCs w:val="24"/>
          <w:lang w:val="en-US"/>
        </w:rPr>
        <w:t>thritis]</w:t>
      </w:r>
      <w:r w:rsidR="00D91607">
        <w:rPr>
          <w:rFonts w:ascii="Times New Roman" w:hAnsi="Times New Roman" w:cs="Times New Roman"/>
          <w:sz w:val="24"/>
          <w:szCs w:val="24"/>
          <w:lang w:val="en-US"/>
        </w:rPr>
        <w:t>. Rev Bras Reumatol. 2011</w:t>
      </w:r>
      <w:r w:rsidR="00442984" w:rsidRPr="00573AA0">
        <w:rPr>
          <w:rFonts w:ascii="Times New Roman" w:hAnsi="Times New Roman" w:cs="Times New Roman"/>
          <w:sz w:val="24"/>
          <w:szCs w:val="24"/>
          <w:lang w:val="en-US"/>
        </w:rPr>
        <w:t xml:space="preserve">; 51(3):199-219. </w:t>
      </w:r>
      <w:r w:rsidRPr="00573AA0">
        <w:rPr>
          <w:rFonts w:ascii="Times New Roman" w:hAnsi="Times New Roman" w:cs="Times New Roman"/>
          <w:sz w:val="24"/>
          <w:szCs w:val="24"/>
          <w:lang w:val="en-US"/>
        </w:rPr>
        <w:t xml:space="preserve"> Portuguese.</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rPr>
      </w:pPr>
      <w:r w:rsidRPr="00573AA0">
        <w:rPr>
          <w:rFonts w:ascii="Times New Roman" w:hAnsi="Times New Roman" w:cs="Times New Roman"/>
          <w:sz w:val="24"/>
          <w:szCs w:val="24"/>
          <w:lang w:val="en-US"/>
        </w:rPr>
        <w:t>Smolen JS, Aletaha D, Bijlsma JWJ, Breedeveld FC, Boumpas D, Burmester G et al. Treating rheumatoid arthritis to target: recommendations of an international task force. Ann Rheum Dis</w:t>
      </w:r>
      <w:r w:rsidR="00BA78F6" w:rsidRPr="00573AA0">
        <w:rPr>
          <w:rFonts w:ascii="Times New Roman" w:hAnsi="Times New Roman" w:cs="Times New Roman"/>
          <w:sz w:val="24"/>
          <w:szCs w:val="24"/>
          <w:lang w:val="en-US"/>
        </w:rPr>
        <w:t>.</w:t>
      </w:r>
      <w:r w:rsidRPr="00573AA0">
        <w:rPr>
          <w:rFonts w:ascii="Times New Roman" w:hAnsi="Times New Roman" w:cs="Times New Roman"/>
          <w:sz w:val="24"/>
          <w:szCs w:val="24"/>
          <w:lang w:val="en-US"/>
        </w:rPr>
        <w:t xml:space="preserve"> 201</w:t>
      </w:r>
      <w:r w:rsidR="00D91607">
        <w:rPr>
          <w:rFonts w:ascii="Times New Roman" w:hAnsi="Times New Roman" w:cs="Times New Roman"/>
          <w:sz w:val="24"/>
          <w:szCs w:val="24"/>
          <w:lang w:val="en-US"/>
        </w:rPr>
        <w:t>0</w:t>
      </w:r>
      <w:r w:rsidRPr="00573AA0">
        <w:rPr>
          <w:rFonts w:ascii="Times New Roman" w:hAnsi="Times New Roman" w:cs="Times New Roman"/>
          <w:sz w:val="24"/>
          <w:szCs w:val="24"/>
          <w:lang w:val="en-US"/>
        </w:rPr>
        <w:t>; 69(4): 631-7,</w:t>
      </w:r>
    </w:p>
    <w:p w:rsidR="00B4610D" w:rsidRPr="00573AA0" w:rsidRDefault="00A851E8"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hyperlink r:id="rId8" w:history="1">
        <w:proofErr w:type="spellStart"/>
        <w:r w:rsidR="00B4610D" w:rsidRPr="00573AA0">
          <w:rPr>
            <w:rFonts w:ascii="Times New Roman" w:eastAsia="Times New Roman" w:hAnsi="Times New Roman" w:cs="Times New Roman"/>
            <w:sz w:val="24"/>
            <w:szCs w:val="24"/>
            <w:lang w:val="en-US" w:eastAsia="pt-BR"/>
          </w:rPr>
          <w:t>Kourbeti</w:t>
        </w:r>
        <w:proofErr w:type="spellEnd"/>
        <w:r w:rsidR="00B4610D" w:rsidRPr="00573AA0">
          <w:rPr>
            <w:rFonts w:ascii="Times New Roman" w:eastAsia="Times New Roman" w:hAnsi="Times New Roman" w:cs="Times New Roman"/>
            <w:sz w:val="24"/>
            <w:szCs w:val="24"/>
            <w:lang w:val="en-US" w:eastAsia="pt-BR"/>
          </w:rPr>
          <w:t xml:space="preserve"> IS</w:t>
        </w:r>
      </w:hyperlink>
      <w:r w:rsidR="00B4610D" w:rsidRPr="00573AA0">
        <w:rPr>
          <w:rFonts w:ascii="Times New Roman" w:eastAsia="Times New Roman" w:hAnsi="Times New Roman" w:cs="Times New Roman"/>
          <w:sz w:val="24"/>
          <w:szCs w:val="24"/>
          <w:lang w:val="en-US" w:eastAsia="pt-BR"/>
        </w:rPr>
        <w:t>, </w:t>
      </w:r>
      <w:proofErr w:type="spellStart"/>
      <w:r>
        <w:fldChar w:fldCharType="begin"/>
      </w:r>
      <w:r w:rsidR="001F4F56" w:rsidRPr="00B9494B">
        <w:rPr>
          <w:lang w:val="en-US"/>
        </w:rPr>
        <w:instrText>HYPERLINK "http://www.ncbi.nlm.nih.gov/pubmed/?term=Ziakas%20PD%5BAuthor%5D&amp;cauthor=true&amp;cauthor_uid=24647016"</w:instrText>
      </w:r>
      <w:r>
        <w:fldChar w:fldCharType="separate"/>
      </w:r>
      <w:r w:rsidR="00B4610D" w:rsidRPr="00573AA0">
        <w:rPr>
          <w:rFonts w:ascii="Times New Roman" w:eastAsia="Times New Roman" w:hAnsi="Times New Roman" w:cs="Times New Roman"/>
          <w:sz w:val="24"/>
          <w:szCs w:val="24"/>
          <w:lang w:val="en-US" w:eastAsia="pt-BR"/>
        </w:rPr>
        <w:t>Ziakas</w:t>
      </w:r>
      <w:proofErr w:type="spellEnd"/>
      <w:r w:rsidR="00B4610D" w:rsidRPr="00573AA0">
        <w:rPr>
          <w:rFonts w:ascii="Times New Roman" w:eastAsia="Times New Roman" w:hAnsi="Times New Roman" w:cs="Times New Roman"/>
          <w:sz w:val="24"/>
          <w:szCs w:val="24"/>
          <w:lang w:val="en-US" w:eastAsia="pt-BR"/>
        </w:rPr>
        <w:t xml:space="preserve"> PD</w:t>
      </w:r>
      <w:r>
        <w:fldChar w:fldCharType="end"/>
      </w:r>
      <w:r w:rsidR="00B4610D" w:rsidRPr="00573AA0">
        <w:rPr>
          <w:rFonts w:ascii="Times New Roman" w:eastAsia="Times New Roman" w:hAnsi="Times New Roman" w:cs="Times New Roman"/>
          <w:sz w:val="24"/>
          <w:szCs w:val="24"/>
          <w:lang w:val="en-US" w:eastAsia="pt-BR"/>
        </w:rPr>
        <w:t>, </w:t>
      </w:r>
      <w:proofErr w:type="spellStart"/>
      <w:r>
        <w:fldChar w:fldCharType="begin"/>
      </w:r>
      <w:r w:rsidR="001F4F56" w:rsidRPr="00B9494B">
        <w:rPr>
          <w:lang w:val="en-US"/>
        </w:rPr>
        <w:instrText>HYPERLINK "http://www.ncbi.nlm.nih.gov/pubmed/?term=Mylonakis%20E%5BAuthor%5D&amp;cauthor=true&amp;cauthor_uid=24647016"</w:instrText>
      </w:r>
      <w:r>
        <w:fldChar w:fldCharType="separate"/>
      </w:r>
      <w:r w:rsidR="00B4610D" w:rsidRPr="00573AA0">
        <w:rPr>
          <w:rFonts w:ascii="Times New Roman" w:eastAsia="Times New Roman" w:hAnsi="Times New Roman" w:cs="Times New Roman"/>
          <w:sz w:val="24"/>
          <w:szCs w:val="24"/>
          <w:lang w:val="en-US" w:eastAsia="pt-BR"/>
        </w:rPr>
        <w:t>Mylonakis</w:t>
      </w:r>
      <w:proofErr w:type="spellEnd"/>
      <w:r w:rsidR="00B4610D" w:rsidRPr="00573AA0">
        <w:rPr>
          <w:rFonts w:ascii="Times New Roman" w:eastAsia="Times New Roman" w:hAnsi="Times New Roman" w:cs="Times New Roman"/>
          <w:sz w:val="24"/>
          <w:szCs w:val="24"/>
          <w:lang w:val="en-US" w:eastAsia="pt-BR"/>
        </w:rPr>
        <w:t xml:space="preserve"> E</w:t>
      </w:r>
      <w:r>
        <w:fldChar w:fldCharType="end"/>
      </w:r>
      <w:r w:rsidR="00B4610D" w:rsidRPr="00573AA0">
        <w:rPr>
          <w:rFonts w:ascii="Times New Roman" w:eastAsia="Times New Roman" w:hAnsi="Times New Roman" w:cs="Times New Roman"/>
          <w:sz w:val="24"/>
          <w:szCs w:val="24"/>
          <w:lang w:val="en-US" w:eastAsia="pt-BR"/>
        </w:rPr>
        <w:t>.</w:t>
      </w:r>
      <w:r w:rsidR="00B4610D" w:rsidRPr="00573AA0">
        <w:rPr>
          <w:rFonts w:ascii="Times New Roman" w:hAnsi="Times New Roman" w:cs="Times New Roman"/>
          <w:sz w:val="24"/>
          <w:szCs w:val="24"/>
          <w:lang w:val="en-US"/>
        </w:rPr>
        <w:t xml:space="preserve"> </w:t>
      </w:r>
      <w:hyperlink r:id="rId9" w:history="1">
        <w:r w:rsidR="00B4610D" w:rsidRPr="00573AA0">
          <w:rPr>
            <w:rFonts w:ascii="Times New Roman" w:eastAsia="Times New Roman" w:hAnsi="Times New Roman" w:cs="Times New Roman"/>
            <w:bCs/>
            <w:kern w:val="36"/>
            <w:sz w:val="24"/>
            <w:szCs w:val="24"/>
            <w:lang w:val="en-US" w:eastAsia="pt-BR"/>
          </w:rPr>
          <w:t xml:space="preserve">Biologic therapies in rheumatoid arthritis and the risk of opportunistic infections: a meta-analysis, </w:t>
        </w:r>
      </w:hyperlink>
      <w:r w:rsidR="00B4610D" w:rsidRPr="00573AA0">
        <w:rPr>
          <w:rFonts w:ascii="Times New Roman" w:hAnsi="Times New Roman" w:cs="Times New Roman"/>
          <w:sz w:val="24"/>
          <w:szCs w:val="24"/>
          <w:lang w:val="en-US"/>
        </w:rPr>
        <w:t>Clin Infect Dis</w:t>
      </w:r>
      <w:r w:rsidR="00BA78F6"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2014</w:t>
      </w:r>
      <w:r w:rsidR="00B4610D" w:rsidRPr="00573AA0">
        <w:rPr>
          <w:rFonts w:ascii="Times New Roman" w:hAnsi="Times New Roman" w:cs="Times New Roman"/>
          <w:sz w:val="24"/>
          <w:szCs w:val="24"/>
          <w:lang w:val="en-US"/>
        </w:rPr>
        <w:t>; 58 (12): 1649-57,</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t>Arnett FC, Edworthy SM, Bloch DA, McShane DJ, Fries JF, Cooper NS  et al. The American Rheumatism Association 1987 revised criteria for the classification of rheumatoid arthritis, Arthritis Rheum</w:t>
      </w:r>
      <w:r w:rsidR="00BA78F6"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1988</w:t>
      </w:r>
      <w:r w:rsidRPr="00573AA0">
        <w:rPr>
          <w:rFonts w:ascii="Times New Roman" w:hAnsi="Times New Roman" w:cs="Times New Roman"/>
          <w:sz w:val="24"/>
          <w:szCs w:val="24"/>
          <w:lang w:val="en-US"/>
        </w:rPr>
        <w:t>; 31(3): 315-24,</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t>Aletaha D, Neogi T, Silman AJ, Funovits J, Felson DT, Bingham CO 3rd et al. 2010 Rheumathoid Arthritis classification criteria: an American College of Rheumatology / European League Against Rheumatism collaborative initiative, Ann Rheum Dis</w:t>
      </w:r>
      <w:r w:rsidR="00BA78F6"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2010</w:t>
      </w:r>
      <w:r w:rsidRPr="00573AA0">
        <w:rPr>
          <w:rFonts w:ascii="Times New Roman" w:hAnsi="Times New Roman" w:cs="Times New Roman"/>
          <w:sz w:val="24"/>
          <w:szCs w:val="24"/>
          <w:lang w:val="en-US"/>
        </w:rPr>
        <w:t>; 69(9): 1580-8,</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t>Dougados M, Aletaha D, van Riel P. Disease activity measures for rheumatoid arthritis, Clin Exp Rheumatol</w:t>
      </w:r>
      <w:r w:rsidR="00BA78F6"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2007</w:t>
      </w:r>
      <w:r w:rsidRPr="00573AA0">
        <w:rPr>
          <w:rFonts w:ascii="Times New Roman" w:hAnsi="Times New Roman" w:cs="Times New Roman"/>
          <w:sz w:val="24"/>
          <w:szCs w:val="24"/>
          <w:lang w:val="en-US"/>
        </w:rPr>
        <w:t>; 25(5 Suppl 46): S22-9,</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lastRenderedPageBreak/>
        <w:t>Hochberg MC. Rheumatology. 5</w:t>
      </w:r>
      <w:r w:rsidRPr="00573AA0">
        <w:rPr>
          <w:rFonts w:ascii="Times New Roman" w:hAnsi="Times New Roman" w:cs="Times New Roman"/>
          <w:sz w:val="24"/>
          <w:szCs w:val="24"/>
          <w:vertAlign w:val="superscript"/>
          <w:lang w:val="en-US"/>
        </w:rPr>
        <w:t>th</w:t>
      </w:r>
      <w:r w:rsidRPr="00573AA0">
        <w:rPr>
          <w:rFonts w:ascii="Times New Roman" w:hAnsi="Times New Roman" w:cs="Times New Roman"/>
          <w:sz w:val="24"/>
          <w:szCs w:val="24"/>
          <w:lang w:val="en-US"/>
        </w:rPr>
        <w:t xml:space="preserve"> edition. Philadelphia: Mosby; 2011</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t>Chang K, Yang SM, Kim SH, Han KH, Park SJ, Shin JI. Smoking and rheumatoid ar</w:t>
      </w:r>
      <w:r w:rsidR="00D91607">
        <w:rPr>
          <w:rFonts w:ascii="Times New Roman" w:hAnsi="Times New Roman" w:cs="Times New Roman"/>
          <w:sz w:val="24"/>
          <w:szCs w:val="24"/>
          <w:lang w:val="en-US"/>
        </w:rPr>
        <w:t>thritis. Int J Mol Sci. 2014</w:t>
      </w:r>
      <w:r w:rsidRPr="00573AA0">
        <w:rPr>
          <w:rFonts w:ascii="Times New Roman" w:hAnsi="Times New Roman" w:cs="Times New Roman"/>
          <w:sz w:val="24"/>
          <w:szCs w:val="24"/>
          <w:lang w:val="en-US"/>
        </w:rPr>
        <w:t>; 15 (12): 22279-95,</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t xml:space="preserve">Yelin E, Tonner C, Kim SC, Katz JN, Ayanian JZ, Brookhart MA et al. </w:t>
      </w:r>
      <w:hyperlink r:id="rId10" w:history="1">
        <w:proofErr w:type="spellStart"/>
        <w:r w:rsidRPr="00573AA0">
          <w:rPr>
            <w:rFonts w:ascii="Times New Roman" w:eastAsia="Times New Roman" w:hAnsi="Times New Roman" w:cs="Times New Roman"/>
            <w:bCs/>
            <w:kern w:val="36"/>
            <w:sz w:val="24"/>
            <w:szCs w:val="24"/>
            <w:lang w:val="en-US" w:eastAsia="pt-BR"/>
          </w:rPr>
          <w:t>Sociodemographic</w:t>
        </w:r>
        <w:proofErr w:type="spellEnd"/>
        <w:r w:rsidRPr="00573AA0">
          <w:rPr>
            <w:rFonts w:ascii="Times New Roman" w:eastAsia="Times New Roman" w:hAnsi="Times New Roman" w:cs="Times New Roman"/>
            <w:bCs/>
            <w:kern w:val="36"/>
            <w:sz w:val="24"/>
            <w:szCs w:val="24"/>
            <w:lang w:val="en-US" w:eastAsia="pt-BR"/>
          </w:rPr>
          <w:t>, disease, health system, and contextual factors affecting the initiation of biologic agents in rheumatoid arthritis: a longitudinal study. Arthritis Care Res (Hoboken)</w:t>
        </w:r>
        <w:r w:rsidR="00284075" w:rsidRPr="00573AA0">
          <w:rPr>
            <w:rFonts w:ascii="Times New Roman" w:eastAsia="Times New Roman" w:hAnsi="Times New Roman" w:cs="Times New Roman"/>
            <w:bCs/>
            <w:kern w:val="36"/>
            <w:sz w:val="24"/>
            <w:szCs w:val="24"/>
            <w:lang w:val="en-US" w:eastAsia="pt-BR"/>
          </w:rPr>
          <w:t>.</w:t>
        </w:r>
        <w:r w:rsidR="00D91607">
          <w:rPr>
            <w:rFonts w:ascii="Times New Roman" w:eastAsia="Times New Roman" w:hAnsi="Times New Roman" w:cs="Times New Roman"/>
            <w:bCs/>
            <w:kern w:val="36"/>
            <w:sz w:val="24"/>
            <w:szCs w:val="24"/>
            <w:lang w:val="en-US" w:eastAsia="pt-BR"/>
          </w:rPr>
          <w:t xml:space="preserve"> 2014</w:t>
        </w:r>
        <w:r w:rsidRPr="00573AA0">
          <w:rPr>
            <w:rFonts w:ascii="Times New Roman" w:eastAsia="Times New Roman" w:hAnsi="Times New Roman" w:cs="Times New Roman"/>
            <w:bCs/>
            <w:kern w:val="36"/>
            <w:sz w:val="24"/>
            <w:szCs w:val="24"/>
            <w:lang w:val="en-US" w:eastAsia="pt-BR"/>
          </w:rPr>
          <w:t>; 66(7): 980-9,</w:t>
        </w:r>
      </w:hyperlink>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t>Singh JA, Furst DE, Bharat A, Curtis JR, Kavanaugh AF, Kremer JM et al. 2012 update of the 2008 American College of Rheumatology recommendations for the use of disease-modifying antirheumatic drugs and biologic agents in the treatment of rheumatoid arthritis. Arthritis care &amp; research (Hoboken)</w:t>
      </w:r>
      <w:r w:rsidR="00284075"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2012</w:t>
      </w:r>
      <w:r w:rsidRPr="00573AA0">
        <w:rPr>
          <w:rFonts w:ascii="Times New Roman" w:hAnsi="Times New Roman" w:cs="Times New Roman"/>
          <w:sz w:val="24"/>
          <w:szCs w:val="24"/>
          <w:lang w:val="en-US"/>
        </w:rPr>
        <w:t>; 64(5): 625-39,</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t xml:space="preserve">Ruderman EM. The role of concomitant methotrexate in biologic therapy for rheumatoid arthritis. </w:t>
      </w:r>
      <w:r w:rsidRPr="00573AA0">
        <w:rPr>
          <w:rFonts w:ascii="Times New Roman" w:eastAsia="Times New Roman" w:hAnsi="Times New Roman" w:cs="Times New Roman"/>
          <w:sz w:val="24"/>
          <w:szCs w:val="24"/>
          <w:lang w:val="en-US" w:eastAsia="pt-BR"/>
        </w:rPr>
        <w:t xml:space="preserve">Bull Hosp Jt Dis 2013; 71(supl .1): S29-32, </w:t>
      </w:r>
    </w:p>
    <w:p w:rsidR="00B4610D" w:rsidRPr="00573AA0" w:rsidRDefault="00A851E8" w:rsidP="00573AA0">
      <w:pPr>
        <w:pStyle w:val="PargrafodaLista"/>
        <w:numPr>
          <w:ilvl w:val="0"/>
          <w:numId w:val="1"/>
        </w:numPr>
        <w:shd w:val="clear" w:color="auto" w:fill="FFFFFF"/>
        <w:spacing w:before="90" w:after="90" w:line="480" w:lineRule="auto"/>
        <w:ind w:left="0" w:firstLine="0"/>
        <w:outlineLvl w:val="0"/>
        <w:rPr>
          <w:rFonts w:ascii="Times New Roman" w:eastAsia="Times New Roman" w:hAnsi="Times New Roman" w:cs="Times New Roman"/>
          <w:bCs/>
          <w:kern w:val="36"/>
          <w:sz w:val="24"/>
          <w:szCs w:val="24"/>
          <w:lang w:val="en-US" w:eastAsia="pt-BR"/>
        </w:rPr>
      </w:pPr>
      <w:hyperlink r:id="rId11" w:history="1">
        <w:r w:rsidR="00B4610D" w:rsidRPr="00573AA0">
          <w:rPr>
            <w:rFonts w:ascii="Times New Roman" w:eastAsia="Times New Roman" w:hAnsi="Times New Roman" w:cs="Times New Roman"/>
            <w:sz w:val="24"/>
            <w:szCs w:val="24"/>
            <w:lang w:eastAsia="pt-BR"/>
          </w:rPr>
          <w:t>Abasolo L</w:t>
        </w:r>
      </w:hyperlink>
      <w:r w:rsidR="00B4610D" w:rsidRPr="00573AA0">
        <w:rPr>
          <w:rFonts w:ascii="Times New Roman" w:hAnsi="Times New Roman" w:cs="Times New Roman"/>
          <w:sz w:val="24"/>
          <w:szCs w:val="24"/>
        </w:rPr>
        <w:t xml:space="preserve">, Leon L, Rodriguez-Rodriguez L, Tobias A, Rosales Z, Maria Leal J et al. </w:t>
      </w:r>
      <w:hyperlink r:id="rId12" w:history="1">
        <w:r w:rsidR="00B4610D" w:rsidRPr="00573AA0">
          <w:rPr>
            <w:rFonts w:ascii="Times New Roman" w:eastAsia="Times New Roman" w:hAnsi="Times New Roman" w:cs="Times New Roman"/>
            <w:bCs/>
            <w:kern w:val="36"/>
            <w:sz w:val="24"/>
            <w:szCs w:val="24"/>
            <w:lang w:val="en-US" w:eastAsia="pt-BR"/>
          </w:rPr>
          <w:t>Safety of disease-modifying antirheumatic drugs and biologic agents for rheumatoid arthritis patients in real-life conditions. Semin Arthritis Rheum</w:t>
        </w:r>
        <w:r w:rsidR="00284075" w:rsidRPr="00573AA0">
          <w:rPr>
            <w:rFonts w:ascii="Times New Roman" w:eastAsia="Times New Roman" w:hAnsi="Times New Roman" w:cs="Times New Roman"/>
            <w:bCs/>
            <w:kern w:val="36"/>
            <w:sz w:val="24"/>
            <w:szCs w:val="24"/>
            <w:lang w:val="en-US" w:eastAsia="pt-BR"/>
          </w:rPr>
          <w:t>.</w:t>
        </w:r>
        <w:r w:rsidR="00D91607">
          <w:rPr>
            <w:rFonts w:ascii="Times New Roman" w:eastAsia="Times New Roman" w:hAnsi="Times New Roman" w:cs="Times New Roman"/>
            <w:bCs/>
            <w:kern w:val="36"/>
            <w:sz w:val="24"/>
            <w:szCs w:val="24"/>
            <w:lang w:val="en-US" w:eastAsia="pt-BR"/>
          </w:rPr>
          <w:t xml:space="preserve"> 2014</w:t>
        </w:r>
        <w:r w:rsidR="00B4610D" w:rsidRPr="00573AA0">
          <w:rPr>
            <w:rFonts w:ascii="Times New Roman" w:eastAsia="Times New Roman" w:hAnsi="Times New Roman" w:cs="Times New Roman"/>
            <w:bCs/>
            <w:kern w:val="36"/>
            <w:sz w:val="24"/>
            <w:szCs w:val="24"/>
            <w:lang w:val="en-US" w:eastAsia="pt-BR"/>
          </w:rPr>
          <w:t xml:space="preserve">; </w:t>
        </w:r>
        <w:r w:rsidR="00B4610D" w:rsidRPr="00573AA0">
          <w:rPr>
            <w:rStyle w:val="apple-converted-space"/>
            <w:rFonts w:ascii="Times New Roman" w:hAnsi="Times New Roman" w:cs="Times New Roman"/>
            <w:sz w:val="24"/>
            <w:szCs w:val="24"/>
            <w:shd w:val="clear" w:color="auto" w:fill="FFFFFF"/>
            <w:lang w:val="en-US"/>
          </w:rPr>
          <w:t> </w:t>
        </w:r>
        <w:r w:rsidR="00B4610D" w:rsidRPr="00573AA0">
          <w:rPr>
            <w:rFonts w:ascii="Times New Roman" w:hAnsi="Times New Roman" w:cs="Times New Roman"/>
            <w:sz w:val="24"/>
            <w:szCs w:val="24"/>
            <w:shd w:val="clear" w:color="auto" w:fill="FFFFFF"/>
            <w:lang w:val="en-US"/>
          </w:rPr>
          <w:t>18. [Epub ahead of print]</w:t>
        </w:r>
        <w:r w:rsidR="00B4610D" w:rsidRPr="00573AA0">
          <w:rPr>
            <w:rFonts w:ascii="Times New Roman" w:eastAsia="Times New Roman" w:hAnsi="Times New Roman" w:cs="Times New Roman"/>
            <w:bCs/>
            <w:kern w:val="36"/>
            <w:sz w:val="24"/>
            <w:szCs w:val="24"/>
            <w:lang w:val="en-US" w:eastAsia="pt-BR"/>
          </w:rPr>
          <w:t>.</w:t>
        </w:r>
      </w:hyperlink>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eastAsia="Times New Roman" w:hAnsi="Times New Roman" w:cs="Times New Roman"/>
          <w:bCs/>
          <w:kern w:val="36"/>
          <w:sz w:val="24"/>
          <w:szCs w:val="24"/>
          <w:lang w:val="en-US" w:eastAsia="pt-BR"/>
        </w:rPr>
      </w:pPr>
      <w:r w:rsidRPr="00573AA0">
        <w:rPr>
          <w:rFonts w:ascii="Times New Roman" w:hAnsi="Times New Roman" w:cs="Times New Roman"/>
          <w:sz w:val="24"/>
          <w:szCs w:val="24"/>
          <w:lang w:val="en-US"/>
        </w:rPr>
        <w:t>Emery P, Sebba A, Huizinga TWJ. Biologic and oral disease-modifying antirheumatic drug monotherapy in rheumatoid arthritis, Ann Rheum Dis</w:t>
      </w:r>
      <w:r w:rsidR="00284075"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2013</w:t>
      </w:r>
      <w:r w:rsidRPr="00573AA0">
        <w:rPr>
          <w:rFonts w:ascii="Times New Roman" w:hAnsi="Times New Roman" w:cs="Times New Roman"/>
          <w:sz w:val="24"/>
          <w:szCs w:val="24"/>
          <w:lang w:val="en-US"/>
        </w:rPr>
        <w:t>; 72(12): 1897-1904,</w:t>
      </w:r>
    </w:p>
    <w:p w:rsidR="00B4610D" w:rsidRPr="00573AA0" w:rsidRDefault="00A851E8" w:rsidP="00573AA0">
      <w:pPr>
        <w:pStyle w:val="PargrafodaLista"/>
        <w:numPr>
          <w:ilvl w:val="0"/>
          <w:numId w:val="1"/>
        </w:numPr>
        <w:shd w:val="clear" w:color="auto" w:fill="FFFFFF"/>
        <w:spacing w:before="90" w:after="90" w:line="480" w:lineRule="auto"/>
        <w:ind w:left="0" w:firstLine="0"/>
        <w:outlineLvl w:val="0"/>
        <w:rPr>
          <w:rFonts w:ascii="Times New Roman" w:eastAsia="Times New Roman" w:hAnsi="Times New Roman" w:cs="Times New Roman"/>
          <w:bCs/>
          <w:kern w:val="36"/>
          <w:sz w:val="24"/>
          <w:szCs w:val="24"/>
          <w:lang w:val="en-US" w:eastAsia="pt-BR"/>
        </w:rPr>
      </w:pPr>
      <w:hyperlink r:id="rId13" w:history="1">
        <w:r w:rsidR="00B4610D" w:rsidRPr="00573AA0">
          <w:rPr>
            <w:rFonts w:ascii="Times New Roman" w:eastAsia="Times New Roman" w:hAnsi="Times New Roman" w:cs="Times New Roman"/>
            <w:sz w:val="24"/>
            <w:szCs w:val="24"/>
            <w:lang w:eastAsia="pt-BR"/>
          </w:rPr>
          <w:t>Titton DC</w:t>
        </w:r>
      </w:hyperlink>
      <w:r w:rsidR="00B4610D" w:rsidRPr="00573AA0">
        <w:rPr>
          <w:rFonts w:ascii="Times New Roman" w:eastAsia="Times New Roman" w:hAnsi="Times New Roman" w:cs="Times New Roman"/>
          <w:sz w:val="24"/>
          <w:szCs w:val="24"/>
          <w:lang w:eastAsia="pt-BR"/>
        </w:rPr>
        <w:t xml:space="preserve">, </w:t>
      </w:r>
      <w:hyperlink r:id="rId14" w:history="1">
        <w:r w:rsidR="00B4610D" w:rsidRPr="00573AA0">
          <w:rPr>
            <w:rFonts w:ascii="Times New Roman" w:eastAsia="Times New Roman" w:hAnsi="Times New Roman" w:cs="Times New Roman"/>
            <w:sz w:val="24"/>
            <w:szCs w:val="24"/>
            <w:lang w:eastAsia="pt-BR"/>
          </w:rPr>
          <w:t>Silveira IG</w:t>
        </w:r>
      </w:hyperlink>
      <w:r w:rsidR="00B4610D" w:rsidRPr="00573AA0">
        <w:rPr>
          <w:rFonts w:ascii="Times New Roman" w:eastAsia="Times New Roman" w:hAnsi="Times New Roman" w:cs="Times New Roman"/>
          <w:sz w:val="24"/>
          <w:szCs w:val="24"/>
          <w:lang w:eastAsia="pt-BR"/>
        </w:rPr>
        <w:t xml:space="preserve">, </w:t>
      </w:r>
      <w:hyperlink r:id="rId15" w:history="1">
        <w:r w:rsidR="00B4610D" w:rsidRPr="00573AA0">
          <w:rPr>
            <w:rFonts w:ascii="Times New Roman" w:eastAsia="Times New Roman" w:hAnsi="Times New Roman" w:cs="Times New Roman"/>
            <w:sz w:val="24"/>
            <w:szCs w:val="24"/>
            <w:lang w:eastAsia="pt-BR"/>
          </w:rPr>
          <w:t>Louzada-Junior P</w:t>
        </w:r>
      </w:hyperlink>
      <w:r w:rsidR="00B4610D" w:rsidRPr="00573AA0">
        <w:rPr>
          <w:rFonts w:ascii="Times New Roman" w:eastAsia="Times New Roman" w:hAnsi="Times New Roman" w:cs="Times New Roman"/>
          <w:sz w:val="24"/>
          <w:szCs w:val="24"/>
          <w:lang w:eastAsia="pt-BR"/>
        </w:rPr>
        <w:t xml:space="preserve">, </w:t>
      </w:r>
      <w:hyperlink r:id="rId16" w:history="1">
        <w:r w:rsidR="00B4610D" w:rsidRPr="00573AA0">
          <w:rPr>
            <w:rFonts w:ascii="Times New Roman" w:eastAsia="Times New Roman" w:hAnsi="Times New Roman" w:cs="Times New Roman"/>
            <w:sz w:val="24"/>
            <w:szCs w:val="24"/>
            <w:lang w:eastAsia="pt-BR"/>
          </w:rPr>
          <w:t>Hayata AL</w:t>
        </w:r>
      </w:hyperlink>
      <w:r w:rsidR="00B4610D" w:rsidRPr="00573AA0">
        <w:rPr>
          <w:rFonts w:ascii="Times New Roman" w:eastAsia="Times New Roman" w:hAnsi="Times New Roman" w:cs="Times New Roman"/>
          <w:sz w:val="24"/>
          <w:szCs w:val="24"/>
          <w:lang w:eastAsia="pt-BR"/>
        </w:rPr>
        <w:t xml:space="preserve">, </w:t>
      </w:r>
      <w:hyperlink r:id="rId17" w:history="1">
        <w:r w:rsidR="00B4610D" w:rsidRPr="00573AA0">
          <w:rPr>
            <w:rFonts w:ascii="Times New Roman" w:eastAsia="Times New Roman" w:hAnsi="Times New Roman" w:cs="Times New Roman"/>
            <w:sz w:val="24"/>
            <w:szCs w:val="24"/>
            <w:lang w:eastAsia="pt-BR"/>
          </w:rPr>
          <w:t>Carvalho HM</w:t>
        </w:r>
      </w:hyperlink>
      <w:r w:rsidR="00B4610D" w:rsidRPr="00573AA0">
        <w:rPr>
          <w:rFonts w:ascii="Times New Roman" w:eastAsia="Times New Roman" w:hAnsi="Times New Roman" w:cs="Times New Roman"/>
          <w:sz w:val="24"/>
          <w:szCs w:val="24"/>
          <w:lang w:eastAsia="pt-BR"/>
        </w:rPr>
        <w:t xml:space="preserve">, </w:t>
      </w:r>
      <w:hyperlink r:id="rId18" w:history="1">
        <w:r w:rsidR="00B4610D" w:rsidRPr="00573AA0">
          <w:rPr>
            <w:rFonts w:ascii="Times New Roman" w:eastAsia="Times New Roman" w:hAnsi="Times New Roman" w:cs="Times New Roman"/>
            <w:sz w:val="24"/>
            <w:szCs w:val="24"/>
            <w:lang w:eastAsia="pt-BR"/>
          </w:rPr>
          <w:t>Ranza R</w:t>
        </w:r>
      </w:hyperlink>
      <w:r w:rsidR="00B4610D" w:rsidRPr="00573AA0">
        <w:rPr>
          <w:rFonts w:ascii="Times New Roman" w:eastAsia="Times New Roman" w:hAnsi="Times New Roman" w:cs="Times New Roman"/>
          <w:sz w:val="24"/>
          <w:szCs w:val="24"/>
          <w:lang w:eastAsia="pt-BR"/>
        </w:rPr>
        <w:t xml:space="preserve"> et al. </w:t>
      </w:r>
      <w:r w:rsidR="00284075" w:rsidRPr="0021244C">
        <w:rPr>
          <w:rFonts w:ascii="Times New Roman" w:eastAsia="Times New Roman" w:hAnsi="Times New Roman" w:cs="Times New Roman"/>
          <w:sz w:val="24"/>
          <w:szCs w:val="24"/>
          <w:lang w:val="en-US" w:eastAsia="pt-BR"/>
        </w:rPr>
        <w:t>[</w:t>
      </w:r>
      <w:r w:rsidR="00B4610D" w:rsidRPr="00573AA0">
        <w:rPr>
          <w:rFonts w:ascii="Times New Roman" w:eastAsia="Times New Roman" w:hAnsi="Times New Roman" w:cs="Times New Roman"/>
          <w:bCs/>
          <w:kern w:val="36"/>
          <w:sz w:val="24"/>
          <w:szCs w:val="24"/>
          <w:lang w:val="en-US" w:eastAsia="pt-BR"/>
        </w:rPr>
        <w:t>Brazilian biologic registry: BiobadaBrasil implementation process and preliminary results</w:t>
      </w:r>
      <w:r w:rsidR="00284075" w:rsidRPr="00573AA0">
        <w:rPr>
          <w:rFonts w:ascii="Times New Roman" w:eastAsia="Times New Roman" w:hAnsi="Times New Roman" w:cs="Times New Roman"/>
          <w:bCs/>
          <w:kern w:val="36"/>
          <w:sz w:val="24"/>
          <w:szCs w:val="24"/>
          <w:lang w:val="en-US" w:eastAsia="pt-BR"/>
        </w:rPr>
        <w:t>]</w:t>
      </w:r>
      <w:r w:rsidR="00B4610D" w:rsidRPr="00573AA0">
        <w:rPr>
          <w:rFonts w:ascii="Times New Roman" w:eastAsia="Times New Roman" w:hAnsi="Times New Roman" w:cs="Times New Roman"/>
          <w:bCs/>
          <w:kern w:val="36"/>
          <w:sz w:val="24"/>
          <w:szCs w:val="24"/>
          <w:lang w:val="en-US" w:eastAsia="pt-BR"/>
        </w:rPr>
        <w:t xml:space="preserve">, Rev Bras Reumatol. </w:t>
      </w:r>
      <w:r w:rsidR="00D91607">
        <w:rPr>
          <w:rFonts w:ascii="Times New Roman" w:eastAsia="Times New Roman" w:hAnsi="Times New Roman" w:cs="Times New Roman"/>
          <w:sz w:val="24"/>
          <w:szCs w:val="24"/>
          <w:lang w:eastAsia="pt-BR"/>
        </w:rPr>
        <w:t>201</w:t>
      </w:r>
      <w:r w:rsidR="00B4610D" w:rsidRPr="00573AA0">
        <w:rPr>
          <w:rFonts w:ascii="Times New Roman" w:eastAsia="Times New Roman" w:hAnsi="Times New Roman" w:cs="Times New Roman"/>
          <w:sz w:val="24"/>
          <w:szCs w:val="24"/>
          <w:lang w:eastAsia="pt-BR"/>
        </w:rPr>
        <w:t>; 51(2): 152-60</w:t>
      </w:r>
      <w:r w:rsidR="00284075" w:rsidRPr="00573AA0">
        <w:rPr>
          <w:rFonts w:ascii="Times New Roman" w:eastAsia="Times New Roman" w:hAnsi="Times New Roman" w:cs="Times New Roman"/>
          <w:sz w:val="24"/>
          <w:szCs w:val="24"/>
          <w:lang w:eastAsia="pt-BR"/>
        </w:rPr>
        <w:t>. Portuguese,</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eastAsia="Times New Roman" w:hAnsi="Times New Roman" w:cs="Times New Roman"/>
          <w:bCs/>
          <w:kern w:val="36"/>
          <w:sz w:val="24"/>
          <w:szCs w:val="24"/>
          <w:lang w:val="en-US" w:eastAsia="pt-BR"/>
        </w:rPr>
      </w:pPr>
      <w:r w:rsidRPr="00573AA0">
        <w:rPr>
          <w:rFonts w:ascii="Times New Roman" w:eastAsia="Times New Roman" w:hAnsi="Times New Roman" w:cs="Times New Roman"/>
          <w:bCs/>
          <w:kern w:val="36"/>
          <w:sz w:val="24"/>
          <w:szCs w:val="24"/>
          <w:lang w:val="en-US" w:eastAsia="pt-BR"/>
        </w:rPr>
        <w:t xml:space="preserve">Chiu YM, Lang HC, Lin HY, Yang MT, Fang CH, Yang YW et al. </w:t>
      </w:r>
      <w:hyperlink r:id="rId19" w:history="1">
        <w:r w:rsidRPr="00573AA0">
          <w:rPr>
            <w:rFonts w:ascii="Times New Roman" w:eastAsia="Times New Roman" w:hAnsi="Times New Roman" w:cs="Times New Roman"/>
            <w:bCs/>
            <w:kern w:val="36"/>
            <w:sz w:val="24"/>
            <w:szCs w:val="24"/>
            <w:lang w:val="en-US" w:eastAsia="pt-BR"/>
          </w:rPr>
          <w:t>Risk of tuberculosis, serious infection and lymphoma with disease-modifying biologic drugs in rheumatoid arthritis patients in Taiwan</w:t>
        </w:r>
      </w:hyperlink>
      <w:r w:rsidRPr="00573AA0">
        <w:rPr>
          <w:rFonts w:ascii="Times New Roman" w:hAnsi="Times New Roman" w:cs="Times New Roman"/>
          <w:sz w:val="24"/>
          <w:szCs w:val="24"/>
          <w:lang w:val="en-US"/>
        </w:rPr>
        <w:t>. Into J Rheum Dis</w:t>
      </w:r>
      <w:r w:rsidR="00284075"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2014</w:t>
      </w:r>
      <w:r w:rsidRPr="00573AA0">
        <w:rPr>
          <w:rFonts w:ascii="Times New Roman" w:hAnsi="Times New Roman" w:cs="Times New Roman"/>
          <w:sz w:val="24"/>
          <w:szCs w:val="24"/>
          <w:lang w:val="en-US"/>
        </w:rPr>
        <w:t>; 17 (supl 3):9-19,</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lastRenderedPageBreak/>
        <w:t>Tikly M, Hodkinson B, Dheda K. Biologic therapy for Rheumatoid Arthritis in developing countries – a place for non-TNF inhibitors as first-line treatment?. Rheumatology (Oxford)</w:t>
      </w:r>
      <w:r w:rsidR="00284075"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2015</w:t>
      </w:r>
      <w:r w:rsidRPr="00573AA0">
        <w:rPr>
          <w:rFonts w:ascii="Times New Roman" w:hAnsi="Times New Roman" w:cs="Times New Roman"/>
          <w:sz w:val="24"/>
          <w:szCs w:val="24"/>
          <w:lang w:val="en-US"/>
        </w:rPr>
        <w:t xml:space="preserve">; 54 (2):208-9, </w:t>
      </w:r>
    </w:p>
    <w:p w:rsidR="00B4610D" w:rsidRPr="00573AA0" w:rsidRDefault="00B4610D" w:rsidP="00573AA0">
      <w:pPr>
        <w:pStyle w:val="PargrafodaLista"/>
        <w:numPr>
          <w:ilvl w:val="0"/>
          <w:numId w:val="1"/>
        </w:numPr>
        <w:shd w:val="clear" w:color="auto" w:fill="FFFFFF"/>
        <w:spacing w:before="90" w:after="90" w:line="480" w:lineRule="auto"/>
        <w:ind w:left="0" w:firstLine="0"/>
        <w:outlineLvl w:val="0"/>
        <w:rPr>
          <w:rFonts w:ascii="Times New Roman" w:hAnsi="Times New Roman" w:cs="Times New Roman"/>
          <w:sz w:val="24"/>
          <w:szCs w:val="24"/>
          <w:lang w:val="en-US"/>
        </w:rPr>
      </w:pPr>
      <w:r w:rsidRPr="00573AA0">
        <w:rPr>
          <w:rFonts w:ascii="Times New Roman" w:hAnsi="Times New Roman" w:cs="Times New Roman"/>
          <w:sz w:val="24"/>
          <w:szCs w:val="24"/>
          <w:lang w:val="en-US"/>
        </w:rPr>
        <w:t>Russel AS, Mallon C, Conner-Spady B, MaksymowychW. A biologic phamacosurveillance program for rheumatoid arthritis: a single center experience, Clin Rheumatology</w:t>
      </w:r>
      <w:r w:rsidR="00284075" w:rsidRPr="00573AA0">
        <w:rPr>
          <w:rFonts w:ascii="Times New Roman" w:hAnsi="Times New Roman" w:cs="Times New Roman"/>
          <w:sz w:val="24"/>
          <w:szCs w:val="24"/>
          <w:lang w:val="en-US"/>
        </w:rPr>
        <w:t>.</w:t>
      </w:r>
      <w:r w:rsidR="00D91607">
        <w:rPr>
          <w:rFonts w:ascii="Times New Roman" w:hAnsi="Times New Roman" w:cs="Times New Roman"/>
          <w:sz w:val="24"/>
          <w:szCs w:val="24"/>
          <w:lang w:val="en-US"/>
        </w:rPr>
        <w:t xml:space="preserve"> 2013</w:t>
      </w:r>
      <w:r w:rsidRPr="00573AA0">
        <w:rPr>
          <w:rFonts w:ascii="Times New Roman" w:hAnsi="Times New Roman" w:cs="Times New Roman"/>
          <w:sz w:val="24"/>
          <w:szCs w:val="24"/>
          <w:lang w:val="en-US"/>
        </w:rPr>
        <w:t>; 32(6) :875-7,</w:t>
      </w:r>
    </w:p>
    <w:p w:rsidR="00B4610D" w:rsidRPr="00573AA0" w:rsidRDefault="00A851E8" w:rsidP="00573AA0">
      <w:pPr>
        <w:pStyle w:val="PargrafodaLista"/>
        <w:numPr>
          <w:ilvl w:val="0"/>
          <w:numId w:val="1"/>
        </w:numPr>
        <w:shd w:val="clear" w:color="auto" w:fill="FFFFFF"/>
        <w:spacing w:before="90" w:after="90" w:line="480" w:lineRule="auto"/>
        <w:ind w:left="0" w:firstLine="0"/>
        <w:outlineLvl w:val="0"/>
        <w:rPr>
          <w:rFonts w:ascii="Times New Roman" w:eastAsia="Times New Roman" w:hAnsi="Times New Roman" w:cs="Times New Roman"/>
          <w:bCs/>
          <w:kern w:val="36"/>
          <w:sz w:val="24"/>
          <w:szCs w:val="24"/>
          <w:lang w:val="en-US" w:eastAsia="pt-BR"/>
        </w:rPr>
      </w:pPr>
      <w:hyperlink r:id="rId20" w:history="1">
        <w:r w:rsidR="00B4610D" w:rsidRPr="00573AA0">
          <w:rPr>
            <w:rFonts w:ascii="Times New Roman" w:eastAsia="Times New Roman" w:hAnsi="Times New Roman" w:cs="Times New Roman"/>
            <w:sz w:val="24"/>
            <w:szCs w:val="24"/>
            <w:lang w:eastAsia="pt-BR"/>
          </w:rPr>
          <w:t>Chu LH</w:t>
        </w:r>
      </w:hyperlink>
      <w:r w:rsidR="00B4610D" w:rsidRPr="00573AA0">
        <w:rPr>
          <w:rFonts w:ascii="Times New Roman" w:eastAsia="Times New Roman" w:hAnsi="Times New Roman" w:cs="Times New Roman"/>
          <w:sz w:val="24"/>
          <w:szCs w:val="24"/>
          <w:lang w:eastAsia="pt-BR"/>
        </w:rPr>
        <w:t>, </w:t>
      </w:r>
      <w:hyperlink r:id="rId21" w:history="1">
        <w:r w:rsidR="00B4610D" w:rsidRPr="00573AA0">
          <w:rPr>
            <w:rFonts w:ascii="Times New Roman" w:eastAsia="Times New Roman" w:hAnsi="Times New Roman" w:cs="Times New Roman"/>
            <w:sz w:val="24"/>
            <w:szCs w:val="24"/>
            <w:lang w:eastAsia="pt-BR"/>
          </w:rPr>
          <w:t>Kawatkar AA</w:t>
        </w:r>
      </w:hyperlink>
      <w:r w:rsidR="00B4610D" w:rsidRPr="00573AA0">
        <w:rPr>
          <w:rFonts w:ascii="Times New Roman" w:eastAsia="Times New Roman" w:hAnsi="Times New Roman" w:cs="Times New Roman"/>
          <w:sz w:val="24"/>
          <w:szCs w:val="24"/>
          <w:lang w:eastAsia="pt-BR"/>
        </w:rPr>
        <w:t>, </w:t>
      </w:r>
      <w:hyperlink r:id="rId22" w:history="1">
        <w:r w:rsidR="00B4610D" w:rsidRPr="00573AA0">
          <w:rPr>
            <w:rFonts w:ascii="Times New Roman" w:eastAsia="Times New Roman" w:hAnsi="Times New Roman" w:cs="Times New Roman"/>
            <w:sz w:val="24"/>
            <w:szCs w:val="24"/>
            <w:lang w:eastAsia="pt-BR"/>
          </w:rPr>
          <w:t>Gabriel SE</w:t>
        </w:r>
      </w:hyperlink>
      <w:r w:rsidR="00B4610D" w:rsidRPr="00573AA0">
        <w:rPr>
          <w:rFonts w:ascii="Times New Roman" w:hAnsi="Times New Roman" w:cs="Times New Roman"/>
          <w:sz w:val="24"/>
          <w:szCs w:val="24"/>
        </w:rPr>
        <w:t xml:space="preserve">. </w:t>
      </w:r>
      <w:hyperlink r:id="rId23" w:history="1">
        <w:r w:rsidR="00B4610D" w:rsidRPr="00573AA0">
          <w:rPr>
            <w:rFonts w:ascii="Times New Roman" w:eastAsia="Times New Roman" w:hAnsi="Times New Roman" w:cs="Times New Roman"/>
            <w:bCs/>
            <w:kern w:val="36"/>
            <w:sz w:val="24"/>
            <w:szCs w:val="24"/>
            <w:lang w:val="en-US" w:eastAsia="pt-BR"/>
          </w:rPr>
          <w:t>Medication Adherence and Attrition to Biologic Treatment in Rheumatoid Arthritis Patients</w:t>
        </w:r>
      </w:hyperlink>
      <w:r w:rsidR="00B4610D" w:rsidRPr="00573AA0">
        <w:rPr>
          <w:rFonts w:ascii="Times New Roman" w:hAnsi="Times New Roman" w:cs="Times New Roman"/>
          <w:sz w:val="24"/>
          <w:szCs w:val="24"/>
          <w:lang w:val="en-US"/>
        </w:rPr>
        <w:t xml:space="preserve">. </w:t>
      </w:r>
      <w:r w:rsidR="00B4610D" w:rsidRPr="00573AA0">
        <w:rPr>
          <w:rFonts w:ascii="Times New Roman" w:eastAsia="Times New Roman" w:hAnsi="Times New Roman" w:cs="Times New Roman"/>
          <w:sz w:val="24"/>
          <w:szCs w:val="24"/>
          <w:lang w:val="en-US" w:eastAsia="pt-BR"/>
        </w:rPr>
        <w:t>Clin Ther</w:t>
      </w:r>
      <w:r w:rsidR="00284075" w:rsidRPr="00573AA0">
        <w:rPr>
          <w:rFonts w:ascii="Times New Roman" w:eastAsia="Times New Roman" w:hAnsi="Times New Roman" w:cs="Times New Roman"/>
          <w:sz w:val="24"/>
          <w:szCs w:val="24"/>
          <w:lang w:val="en-US" w:eastAsia="pt-BR"/>
        </w:rPr>
        <w:t>.</w:t>
      </w:r>
      <w:r w:rsidR="00B4610D" w:rsidRPr="00573AA0">
        <w:rPr>
          <w:rFonts w:ascii="Times New Roman" w:eastAsia="Times New Roman" w:hAnsi="Times New Roman" w:cs="Times New Roman"/>
          <w:sz w:val="24"/>
          <w:szCs w:val="24"/>
          <w:lang w:val="en-US" w:eastAsia="pt-BR"/>
        </w:rPr>
        <w:t xml:space="preserve"> 2015</w:t>
      </w:r>
      <w:r w:rsidR="00D91607">
        <w:rPr>
          <w:rFonts w:ascii="Times New Roman" w:eastAsia="Times New Roman" w:hAnsi="Times New Roman" w:cs="Times New Roman"/>
          <w:sz w:val="24"/>
          <w:szCs w:val="24"/>
          <w:lang w:val="en-US" w:eastAsia="pt-BR"/>
        </w:rPr>
        <w:t xml:space="preserve"> </w:t>
      </w:r>
      <w:r w:rsidR="00B4588E">
        <w:rPr>
          <w:rFonts w:ascii="Times New Roman" w:hAnsi="Times New Roman" w:cs="Times New Roman"/>
          <w:sz w:val="24"/>
          <w:szCs w:val="24"/>
          <w:shd w:val="clear" w:color="auto" w:fill="FFFFFF"/>
          <w:lang w:val="en-US"/>
        </w:rPr>
        <w:t>; 21</w:t>
      </w:r>
      <w:r w:rsidR="00284075" w:rsidRPr="00573AA0">
        <w:rPr>
          <w:rFonts w:ascii="Times New Roman" w:hAnsi="Times New Roman" w:cs="Times New Roman"/>
          <w:sz w:val="24"/>
          <w:szCs w:val="24"/>
          <w:shd w:val="clear" w:color="auto" w:fill="FFFFFF"/>
          <w:lang w:val="en-US"/>
        </w:rPr>
        <w:t xml:space="preserve"> [Epub ahead of print].</w:t>
      </w:r>
    </w:p>
    <w:p w:rsidR="00B4610D" w:rsidRPr="00284075" w:rsidRDefault="00B4610D" w:rsidP="00573AA0">
      <w:pPr>
        <w:tabs>
          <w:tab w:val="left" w:pos="3329"/>
        </w:tabs>
        <w:spacing w:line="480" w:lineRule="auto"/>
        <w:rPr>
          <w:rFonts w:ascii="Times New Roman" w:hAnsi="Times New Roman" w:cs="Times New Roman"/>
          <w:b/>
          <w:sz w:val="24"/>
          <w:szCs w:val="24"/>
          <w:lang w:val="en-US"/>
        </w:rPr>
      </w:pPr>
      <w:r w:rsidRPr="00284075">
        <w:rPr>
          <w:rFonts w:ascii="Times New Roman" w:hAnsi="Times New Roman" w:cs="Times New Roman"/>
          <w:color w:val="FF0000"/>
          <w:sz w:val="24"/>
          <w:szCs w:val="24"/>
          <w:lang w:val="en-US"/>
        </w:rPr>
        <w:t xml:space="preserve">  </w:t>
      </w:r>
    </w:p>
    <w:p w:rsidR="00017397" w:rsidRPr="00284075" w:rsidRDefault="00017397" w:rsidP="00D53A7A">
      <w:pPr>
        <w:spacing w:line="480" w:lineRule="auto"/>
        <w:rPr>
          <w:rFonts w:ascii="Times New Roman" w:hAnsi="Times New Roman" w:cs="Times New Roman"/>
          <w:sz w:val="24"/>
          <w:szCs w:val="24"/>
          <w:lang w:val="en-US"/>
        </w:rPr>
      </w:pPr>
    </w:p>
    <w:p w:rsidR="00B4610D" w:rsidRPr="00284075" w:rsidRDefault="00B4610D" w:rsidP="00D53A7A">
      <w:pPr>
        <w:spacing w:line="480" w:lineRule="auto"/>
        <w:rPr>
          <w:rFonts w:ascii="Times New Roman" w:hAnsi="Times New Roman" w:cs="Times New Roman"/>
          <w:sz w:val="24"/>
          <w:szCs w:val="24"/>
          <w:lang w:val="en-US"/>
        </w:rPr>
      </w:pPr>
    </w:p>
    <w:p w:rsidR="00B4610D" w:rsidRPr="00284075" w:rsidRDefault="00B4610D" w:rsidP="00D53A7A">
      <w:pPr>
        <w:spacing w:line="480" w:lineRule="auto"/>
        <w:rPr>
          <w:rFonts w:ascii="Times New Roman" w:hAnsi="Times New Roman" w:cs="Times New Roman"/>
          <w:sz w:val="24"/>
          <w:szCs w:val="24"/>
          <w:lang w:val="en-US"/>
        </w:rPr>
      </w:pPr>
    </w:p>
    <w:p w:rsidR="00B4610D" w:rsidRPr="00284075" w:rsidRDefault="00B4610D" w:rsidP="00D53A7A">
      <w:pPr>
        <w:spacing w:line="480" w:lineRule="auto"/>
        <w:rPr>
          <w:rFonts w:ascii="Times New Roman" w:hAnsi="Times New Roman" w:cs="Times New Roman"/>
          <w:b/>
          <w:sz w:val="24"/>
          <w:szCs w:val="24"/>
          <w:lang w:val="en-US"/>
        </w:rPr>
      </w:pPr>
    </w:p>
    <w:p w:rsidR="00B4610D" w:rsidRPr="00284075" w:rsidRDefault="00B4610D" w:rsidP="00D53A7A">
      <w:pPr>
        <w:spacing w:line="480" w:lineRule="auto"/>
        <w:rPr>
          <w:rFonts w:ascii="Times New Roman" w:hAnsi="Times New Roman" w:cs="Times New Roman"/>
          <w:b/>
          <w:sz w:val="24"/>
          <w:szCs w:val="24"/>
          <w:lang w:val="en-US"/>
        </w:rPr>
      </w:pPr>
    </w:p>
    <w:p w:rsidR="00B4610D" w:rsidRPr="00284075" w:rsidRDefault="00B4610D" w:rsidP="00D53A7A">
      <w:pPr>
        <w:spacing w:line="480" w:lineRule="auto"/>
        <w:rPr>
          <w:rFonts w:ascii="Times New Roman" w:hAnsi="Times New Roman" w:cs="Times New Roman"/>
          <w:b/>
          <w:sz w:val="24"/>
          <w:szCs w:val="24"/>
          <w:lang w:val="en-US"/>
        </w:rPr>
      </w:pPr>
    </w:p>
    <w:p w:rsidR="00B4610D" w:rsidRPr="00284075" w:rsidRDefault="00B4610D" w:rsidP="00D53A7A">
      <w:pPr>
        <w:spacing w:line="480" w:lineRule="auto"/>
        <w:rPr>
          <w:rFonts w:ascii="Times New Roman" w:hAnsi="Times New Roman" w:cs="Times New Roman"/>
          <w:b/>
          <w:sz w:val="24"/>
          <w:szCs w:val="24"/>
          <w:lang w:val="en-US"/>
        </w:rPr>
      </w:pPr>
    </w:p>
    <w:p w:rsidR="00B4610D" w:rsidRPr="00284075" w:rsidRDefault="00B4610D" w:rsidP="00D53A7A">
      <w:pPr>
        <w:spacing w:line="480" w:lineRule="auto"/>
        <w:rPr>
          <w:rFonts w:ascii="Times New Roman" w:hAnsi="Times New Roman" w:cs="Times New Roman"/>
          <w:b/>
          <w:sz w:val="24"/>
          <w:szCs w:val="24"/>
          <w:lang w:val="en-US"/>
        </w:rPr>
      </w:pPr>
    </w:p>
    <w:p w:rsidR="00B4610D" w:rsidRPr="00284075" w:rsidRDefault="00B4610D" w:rsidP="00D53A7A">
      <w:pPr>
        <w:spacing w:line="480" w:lineRule="auto"/>
        <w:rPr>
          <w:rFonts w:ascii="Times New Roman" w:hAnsi="Times New Roman" w:cs="Times New Roman"/>
          <w:b/>
          <w:sz w:val="24"/>
          <w:szCs w:val="24"/>
          <w:lang w:val="en-US"/>
        </w:rPr>
      </w:pPr>
    </w:p>
    <w:p w:rsidR="00515579" w:rsidRPr="004367EB" w:rsidRDefault="00515579" w:rsidP="00D53A7A">
      <w:pPr>
        <w:spacing w:line="480" w:lineRule="auto"/>
        <w:rPr>
          <w:rFonts w:ascii="Times New Roman" w:hAnsi="Times New Roman" w:cs="Times New Roman"/>
          <w:b/>
          <w:sz w:val="24"/>
          <w:szCs w:val="24"/>
          <w:lang w:val="en-US"/>
        </w:rPr>
      </w:pPr>
    </w:p>
    <w:p w:rsidR="00515579" w:rsidRPr="004367EB" w:rsidRDefault="00515579" w:rsidP="00D53A7A">
      <w:pPr>
        <w:spacing w:line="480" w:lineRule="auto"/>
        <w:rPr>
          <w:rFonts w:ascii="Times New Roman" w:hAnsi="Times New Roman" w:cs="Times New Roman"/>
          <w:b/>
          <w:sz w:val="24"/>
          <w:szCs w:val="24"/>
          <w:lang w:val="en-US"/>
        </w:rPr>
      </w:pPr>
    </w:p>
    <w:p w:rsidR="00B4610D" w:rsidRPr="00D53A7A" w:rsidRDefault="00B4610D" w:rsidP="00D53A7A">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lastRenderedPageBreak/>
        <w:t>Tabela 1. Características sociodemográficas e clínicas de 131 pacientes com diagnóstico de Artrite Reumatoide que fizeram ou fazem uso de agentes biológicos no serviço de Reumatologia do HUWC-UFC</w:t>
      </w:r>
    </w:p>
    <w:tbl>
      <w:tblPr>
        <w:tblStyle w:val="Tabelacomgrade"/>
        <w:tblW w:w="0" w:type="auto"/>
        <w:tblLook w:val="04A0"/>
      </w:tblPr>
      <w:tblGrid>
        <w:gridCol w:w="5353"/>
        <w:gridCol w:w="3291"/>
      </w:tblGrid>
      <w:tr w:rsidR="00B4610D" w:rsidRPr="00D53A7A" w:rsidTr="00D53A7A">
        <w:tc>
          <w:tcPr>
            <w:tcW w:w="5353"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Característica</w:t>
            </w:r>
          </w:p>
        </w:tc>
        <w:tc>
          <w:tcPr>
            <w:tcW w:w="3291" w:type="dxa"/>
          </w:tcPr>
          <w:p w:rsidR="00B4610D" w:rsidRPr="00D53A7A" w:rsidRDefault="00C373F9" w:rsidP="00DE79D6">
            <w:pPr>
              <w:spacing w:line="480" w:lineRule="auto"/>
              <w:rPr>
                <w:rFonts w:ascii="Times New Roman" w:hAnsi="Times New Roman" w:cs="Times New Roman"/>
                <w:b/>
                <w:sz w:val="24"/>
                <w:szCs w:val="24"/>
              </w:rPr>
            </w:pPr>
            <w:r>
              <w:rPr>
                <w:rFonts w:ascii="Times New Roman" w:hAnsi="Times New Roman" w:cs="Times New Roman"/>
                <w:b/>
                <w:sz w:val="24"/>
                <w:szCs w:val="24"/>
              </w:rPr>
              <w:t>Resultado</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Idade (média ± DP) (mínima - máxima)</w:t>
            </w:r>
          </w:p>
        </w:tc>
        <w:tc>
          <w:tcPr>
            <w:tcW w:w="329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55,1 ± 12,2 (23 – 84)</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Sexo feminino (%) (Sexo feminino : sexo masculino)</w:t>
            </w:r>
          </w:p>
        </w:tc>
        <w:tc>
          <w:tcPr>
            <w:tcW w:w="329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92,3 (12 : 1)</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Estado civil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Solteiro</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Casado</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Separado</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Viúvo</w:t>
            </w:r>
          </w:p>
        </w:tc>
        <w:tc>
          <w:tcPr>
            <w:tcW w:w="3291"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22,4</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60,0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12,0</w:t>
            </w:r>
          </w:p>
          <w:p w:rsidR="00B4610D" w:rsidRPr="00D53A7A" w:rsidRDefault="00B4610D" w:rsidP="00DE79D6">
            <w:pPr>
              <w:spacing w:line="480" w:lineRule="auto"/>
              <w:rPr>
                <w:rFonts w:ascii="Times New Roman" w:hAnsi="Times New Roman" w:cs="Times New Roman"/>
                <w:sz w:val="24"/>
                <w:szCs w:val="24"/>
              </w:rPr>
            </w:pP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Nível escolar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Analfabeto/alfabetizado</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1º. Grau</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2º. Grau</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Superior </w:t>
            </w:r>
          </w:p>
        </w:tc>
        <w:tc>
          <w:tcPr>
            <w:tcW w:w="3291"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15,1</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47,6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27,0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10,3</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Raça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Branca</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Morena</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Negra</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Parda</w:t>
            </w:r>
          </w:p>
        </w:tc>
        <w:tc>
          <w:tcPr>
            <w:tcW w:w="3291"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17,1</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32,5</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8,1</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42,3</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Tempo doença em anos (média ± DP) (mínimo – máximo)</w:t>
            </w:r>
          </w:p>
        </w:tc>
        <w:tc>
          <w:tcPr>
            <w:tcW w:w="329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11,3 ± 6,5 (1,5 – 36)</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lastRenderedPageBreak/>
              <w:t>Presença manifestações extra-articulares (%)</w:t>
            </w:r>
          </w:p>
        </w:tc>
        <w:tc>
          <w:tcPr>
            <w:tcW w:w="329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12,4</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Fator reumatoide positivo (%)</w:t>
            </w:r>
          </w:p>
        </w:tc>
        <w:tc>
          <w:tcPr>
            <w:tcW w:w="329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86,6</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Tabagismo (%)</w:t>
            </w:r>
          </w:p>
        </w:tc>
        <w:tc>
          <w:tcPr>
            <w:tcW w:w="329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48,0</w:t>
            </w:r>
          </w:p>
        </w:tc>
      </w:tr>
      <w:tr w:rsidR="00B4610D" w:rsidRPr="00D53A7A" w:rsidTr="00D53A7A">
        <w:tc>
          <w:tcPr>
            <w:tcW w:w="5353" w:type="dxa"/>
          </w:tcPr>
          <w:p w:rsidR="00B4610D" w:rsidRPr="00D53A7A" w:rsidRDefault="004E3502" w:rsidP="00DE79D6">
            <w:pPr>
              <w:spacing w:line="480" w:lineRule="auto"/>
              <w:rPr>
                <w:rFonts w:ascii="Times New Roman" w:hAnsi="Times New Roman" w:cs="Times New Roman"/>
                <w:sz w:val="24"/>
                <w:szCs w:val="24"/>
              </w:rPr>
            </w:pPr>
            <w:r>
              <w:rPr>
                <w:rFonts w:ascii="Times New Roman" w:hAnsi="Times New Roman" w:cs="Times New Roman"/>
                <w:sz w:val="24"/>
                <w:szCs w:val="24"/>
              </w:rPr>
              <w:t>Uso de cortico</w:t>
            </w:r>
            <w:r w:rsidR="00B4610D" w:rsidRPr="00D53A7A">
              <w:rPr>
                <w:rFonts w:ascii="Times New Roman" w:hAnsi="Times New Roman" w:cs="Times New Roman"/>
                <w:sz w:val="24"/>
                <w:szCs w:val="24"/>
              </w:rPr>
              <w:t>ide na última avaliação (%)</w:t>
            </w:r>
          </w:p>
        </w:tc>
        <w:tc>
          <w:tcPr>
            <w:tcW w:w="329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72,5</w:t>
            </w:r>
          </w:p>
        </w:tc>
      </w:tr>
      <w:tr w:rsidR="00B4610D" w:rsidRPr="00D53A7A" w:rsidTr="00D53A7A">
        <w:tc>
          <w:tcPr>
            <w:tcW w:w="5353"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Presença de comorbidades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Diabetes melitus</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Doenças cardíacas</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Hipotireoidismo</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Dislipidemia</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Osteoporose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Hipertensão arterial</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Fibromialgia</w:t>
            </w:r>
          </w:p>
          <w:p w:rsidR="00B4610D" w:rsidRPr="00D53A7A" w:rsidRDefault="00B4610D" w:rsidP="00DE79D6">
            <w:pPr>
              <w:spacing w:line="480" w:lineRule="auto"/>
              <w:rPr>
                <w:rFonts w:ascii="Times New Roman" w:hAnsi="Times New Roman" w:cs="Times New Roman"/>
                <w:sz w:val="24"/>
                <w:szCs w:val="24"/>
              </w:rPr>
            </w:pPr>
          </w:p>
        </w:tc>
        <w:tc>
          <w:tcPr>
            <w:tcW w:w="3291"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17,8</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1,5</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7,0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42,6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30,2</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36,4</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2,3</w:t>
            </w:r>
          </w:p>
          <w:p w:rsidR="00B4610D" w:rsidRPr="00D53A7A" w:rsidRDefault="00B4610D" w:rsidP="00DE79D6">
            <w:pPr>
              <w:spacing w:line="480" w:lineRule="auto"/>
              <w:rPr>
                <w:rFonts w:ascii="Times New Roman" w:hAnsi="Times New Roman" w:cs="Times New Roman"/>
                <w:sz w:val="24"/>
                <w:szCs w:val="24"/>
              </w:rPr>
            </w:pPr>
          </w:p>
        </w:tc>
      </w:tr>
    </w:tbl>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Default="00B4610D" w:rsidP="00D53A7A">
      <w:pPr>
        <w:spacing w:line="480" w:lineRule="auto"/>
        <w:rPr>
          <w:rFonts w:ascii="Times New Roman" w:hAnsi="Times New Roman" w:cs="Times New Roman"/>
          <w:sz w:val="24"/>
          <w:szCs w:val="24"/>
        </w:rPr>
      </w:pPr>
    </w:p>
    <w:p w:rsidR="00DE79D6" w:rsidRDefault="00DE79D6" w:rsidP="00D53A7A">
      <w:pPr>
        <w:spacing w:line="480" w:lineRule="auto"/>
        <w:rPr>
          <w:rFonts w:ascii="Times New Roman" w:hAnsi="Times New Roman" w:cs="Times New Roman"/>
          <w:sz w:val="24"/>
          <w:szCs w:val="24"/>
        </w:rPr>
      </w:pPr>
    </w:p>
    <w:p w:rsidR="00DE79D6" w:rsidRDefault="00DE79D6" w:rsidP="00D53A7A">
      <w:pPr>
        <w:spacing w:line="480" w:lineRule="auto"/>
        <w:rPr>
          <w:rFonts w:ascii="Times New Roman" w:hAnsi="Times New Roman" w:cs="Times New Roman"/>
          <w:sz w:val="24"/>
          <w:szCs w:val="24"/>
        </w:rPr>
      </w:pPr>
    </w:p>
    <w:p w:rsidR="00DE79D6" w:rsidRDefault="00DE79D6" w:rsidP="00D53A7A">
      <w:pPr>
        <w:spacing w:line="480" w:lineRule="auto"/>
        <w:rPr>
          <w:rFonts w:ascii="Times New Roman" w:hAnsi="Times New Roman" w:cs="Times New Roman"/>
          <w:sz w:val="24"/>
          <w:szCs w:val="24"/>
        </w:rPr>
      </w:pPr>
    </w:p>
    <w:p w:rsidR="00DE79D6" w:rsidRPr="00D53A7A" w:rsidRDefault="00DE79D6" w:rsidP="00D53A7A">
      <w:pPr>
        <w:spacing w:line="480" w:lineRule="auto"/>
        <w:rPr>
          <w:rFonts w:ascii="Times New Roman" w:hAnsi="Times New Roman" w:cs="Times New Roman"/>
          <w:sz w:val="24"/>
          <w:szCs w:val="24"/>
        </w:rPr>
      </w:pPr>
    </w:p>
    <w:p w:rsidR="00B4610D" w:rsidRPr="00D53A7A" w:rsidRDefault="00B87CD1" w:rsidP="00D53A7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w:t>
      </w:r>
      <w:r w:rsidR="00B4610D" w:rsidRPr="00D53A7A">
        <w:rPr>
          <w:rFonts w:ascii="Times New Roman" w:hAnsi="Times New Roman" w:cs="Times New Roman"/>
          <w:b/>
          <w:sz w:val="24"/>
          <w:szCs w:val="24"/>
        </w:rPr>
        <w:t>abela 2. Perfil de uso das drogas sintéticas em 131 pacientes com diagnóstico de Artrite Reumatoide que usaram também agentes biológicos acompanhados no HUWC-UFC</w:t>
      </w:r>
    </w:p>
    <w:tbl>
      <w:tblPr>
        <w:tblStyle w:val="Tabelacomgrade"/>
        <w:tblW w:w="9039" w:type="dxa"/>
        <w:tblLook w:val="04A0"/>
      </w:tblPr>
      <w:tblGrid>
        <w:gridCol w:w="6345"/>
        <w:gridCol w:w="2694"/>
      </w:tblGrid>
      <w:tr w:rsidR="00B4610D" w:rsidRPr="00D53A7A" w:rsidTr="00D53A7A">
        <w:tc>
          <w:tcPr>
            <w:tcW w:w="6345"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Uso de drogas modificadoras da doença sintéticas (%)</w:t>
            </w:r>
          </w:p>
          <w:p w:rsidR="00B4610D" w:rsidRPr="00D53A7A" w:rsidRDefault="00B4610D" w:rsidP="00DE79D6">
            <w:pPr>
              <w:spacing w:line="480" w:lineRule="auto"/>
              <w:rPr>
                <w:rFonts w:ascii="Times New Roman" w:hAnsi="Times New Roman" w:cs="Times New Roman"/>
                <w:b/>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Antimaláricos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Metotrexato</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Sulfassalazina</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Ciclosporina</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Leflunomida</w:t>
            </w:r>
          </w:p>
          <w:p w:rsidR="00B4610D" w:rsidRPr="00D53A7A" w:rsidRDefault="00B4610D" w:rsidP="00DE79D6">
            <w:pPr>
              <w:spacing w:line="480" w:lineRule="auto"/>
              <w:rPr>
                <w:rFonts w:ascii="Times New Roman" w:hAnsi="Times New Roman" w:cs="Times New Roman"/>
                <w:sz w:val="24"/>
                <w:szCs w:val="24"/>
              </w:rPr>
            </w:pPr>
          </w:p>
        </w:tc>
        <w:tc>
          <w:tcPr>
            <w:tcW w:w="2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100</w:t>
            </w: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39,2</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96,9</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14,6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2,3</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93,7</w:t>
            </w:r>
          </w:p>
        </w:tc>
      </w:tr>
      <w:tr w:rsidR="00B4610D" w:rsidRPr="00D53A7A" w:rsidTr="00D53A7A">
        <w:tc>
          <w:tcPr>
            <w:tcW w:w="6345"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Comb</w:t>
            </w:r>
            <w:r w:rsidR="00B87CD1">
              <w:rPr>
                <w:rFonts w:ascii="Times New Roman" w:hAnsi="Times New Roman" w:cs="Times New Roman"/>
                <w:b/>
                <w:sz w:val="24"/>
                <w:szCs w:val="24"/>
              </w:rPr>
              <w:t>inação de drogas sintéticas (%</w:t>
            </w:r>
            <w:r w:rsidR="008D53EF">
              <w:rPr>
                <w:rFonts w:ascii="Times New Roman" w:hAnsi="Times New Roman" w:cs="Times New Roman"/>
                <w:b/>
                <w:sz w:val="24"/>
                <w:szCs w:val="24"/>
              </w:rPr>
              <w:t xml:space="preserve">) </w:t>
            </w:r>
            <w:r w:rsidR="00B87CD1">
              <w:rPr>
                <w:rFonts w:ascii="Times New Roman" w:hAnsi="Times New Roman" w:cs="Times New Roman"/>
                <w:b/>
                <w:sz w:val="24"/>
                <w:szCs w:val="24"/>
              </w:rPr>
              <w:t>*</w:t>
            </w:r>
          </w:p>
          <w:p w:rsidR="00B4610D" w:rsidRPr="00D53A7A" w:rsidRDefault="00B4610D" w:rsidP="00DE79D6">
            <w:pPr>
              <w:spacing w:line="480" w:lineRule="auto"/>
              <w:rPr>
                <w:rFonts w:ascii="Times New Roman" w:hAnsi="Times New Roman" w:cs="Times New Roman"/>
                <w:b/>
                <w:sz w:val="24"/>
                <w:szCs w:val="24"/>
              </w:rPr>
            </w:pP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sz w:val="24"/>
                <w:szCs w:val="24"/>
              </w:rPr>
              <w:t xml:space="preserve">   Metotrexato + leflunomida</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Antimaláricos + metotrexato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Antimaláricos + metotrexato + sulfassalazina   </w:t>
            </w:r>
          </w:p>
          <w:p w:rsidR="00B4610D" w:rsidRPr="00D53A7A" w:rsidRDefault="00B4610D" w:rsidP="00DE79D6">
            <w:pPr>
              <w:spacing w:line="480" w:lineRule="auto"/>
              <w:rPr>
                <w:rFonts w:ascii="Times New Roman" w:hAnsi="Times New Roman" w:cs="Times New Roman"/>
                <w:sz w:val="24"/>
                <w:szCs w:val="24"/>
              </w:rPr>
            </w:pPr>
          </w:p>
        </w:tc>
        <w:tc>
          <w:tcPr>
            <w:tcW w:w="2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76,6</w:t>
            </w: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69,6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14,3</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5,4</w:t>
            </w:r>
          </w:p>
          <w:p w:rsidR="00B4610D" w:rsidRPr="00D53A7A" w:rsidRDefault="00B4610D" w:rsidP="00DE79D6">
            <w:pPr>
              <w:spacing w:line="480" w:lineRule="auto"/>
              <w:rPr>
                <w:rFonts w:ascii="Times New Roman" w:hAnsi="Times New Roman" w:cs="Times New Roman"/>
                <w:sz w:val="24"/>
                <w:szCs w:val="24"/>
              </w:rPr>
            </w:pPr>
          </w:p>
        </w:tc>
      </w:tr>
      <w:tr w:rsidR="00B4610D" w:rsidRPr="00D53A7A" w:rsidTr="00D53A7A">
        <w:tc>
          <w:tcPr>
            <w:tcW w:w="6345"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Tempo de uso das drogas sintéticas em anos (média ± DP) (mediana/ IIQ)</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Antimaláricos</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Metotrexato</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Sulfassalazina</w:t>
            </w: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sz w:val="24"/>
                <w:szCs w:val="24"/>
              </w:rPr>
              <w:t xml:space="preserve">   Leflunomida </w:t>
            </w:r>
          </w:p>
        </w:tc>
        <w:tc>
          <w:tcPr>
            <w:tcW w:w="2694"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3,5 ± 3,5 (2,4/ 1 - 4)</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6,9 ± 4,6 (6/ 4 – 9,6)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2,2 ± 2,1 (1,7/ 0,8 – 2,3)</w:t>
            </w:r>
          </w:p>
          <w:p w:rsidR="00B4610D" w:rsidRPr="00D53A7A" w:rsidRDefault="00B4610D" w:rsidP="00DE79D6">
            <w:pPr>
              <w:spacing w:line="480" w:lineRule="auto"/>
              <w:rPr>
                <w:rFonts w:ascii="Times New Roman" w:hAnsi="Times New Roman" w:cs="Times New Roman"/>
                <w:color w:val="FF0000"/>
                <w:sz w:val="24"/>
                <w:szCs w:val="24"/>
              </w:rPr>
            </w:pPr>
            <w:r w:rsidRPr="00D53A7A">
              <w:rPr>
                <w:rFonts w:ascii="Times New Roman" w:hAnsi="Times New Roman" w:cs="Times New Roman"/>
                <w:sz w:val="24"/>
                <w:szCs w:val="24"/>
              </w:rPr>
              <w:t>3,4 ± 2,4 (3,2/ 1,4 – 4,9)</w:t>
            </w:r>
          </w:p>
          <w:p w:rsidR="00B4610D" w:rsidRPr="00D53A7A" w:rsidRDefault="00B4610D" w:rsidP="00DE79D6">
            <w:pPr>
              <w:spacing w:line="480" w:lineRule="auto"/>
              <w:rPr>
                <w:rFonts w:ascii="Times New Roman" w:hAnsi="Times New Roman" w:cs="Times New Roman"/>
                <w:sz w:val="24"/>
                <w:szCs w:val="24"/>
              </w:rPr>
            </w:pPr>
          </w:p>
        </w:tc>
      </w:tr>
    </w:tbl>
    <w:p w:rsidR="00B4610D" w:rsidRPr="00D53A7A" w:rsidRDefault="00B4610D" w:rsidP="00D53A7A">
      <w:pPr>
        <w:spacing w:line="480" w:lineRule="auto"/>
        <w:rPr>
          <w:rFonts w:ascii="Times New Roman" w:hAnsi="Times New Roman" w:cs="Times New Roman"/>
          <w:sz w:val="24"/>
          <w:szCs w:val="24"/>
        </w:rPr>
      </w:pPr>
      <w:r w:rsidRPr="00D53A7A">
        <w:rPr>
          <w:rFonts w:ascii="Times New Roman" w:hAnsi="Times New Roman" w:cs="Times New Roman"/>
          <w:sz w:val="24"/>
          <w:szCs w:val="24"/>
        </w:rPr>
        <w:t>*: total de 112 associações</w:t>
      </w: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lastRenderedPageBreak/>
        <w:t>Tabela 3. Perfil de uso das drogas biológicas em 131 pacientes com diagnóstico de Artrite Reumatoide acompanhados no HUWC-UFC</w:t>
      </w:r>
    </w:p>
    <w:tbl>
      <w:tblPr>
        <w:tblStyle w:val="Tabelacomgrade"/>
        <w:tblW w:w="0" w:type="auto"/>
        <w:tblLook w:val="04A0"/>
      </w:tblPr>
      <w:tblGrid>
        <w:gridCol w:w="4928"/>
        <w:gridCol w:w="3716"/>
      </w:tblGrid>
      <w:tr w:rsidR="00B4610D" w:rsidRPr="00D53A7A" w:rsidTr="00D53A7A">
        <w:tc>
          <w:tcPr>
            <w:tcW w:w="4928" w:type="dxa"/>
          </w:tcPr>
          <w:p w:rsidR="00B4610D" w:rsidRPr="00D53A7A" w:rsidRDefault="004E3502" w:rsidP="00DE79D6">
            <w:pPr>
              <w:spacing w:line="480" w:lineRule="auto"/>
              <w:rPr>
                <w:rFonts w:ascii="Times New Roman" w:hAnsi="Times New Roman" w:cs="Times New Roman"/>
                <w:b/>
                <w:sz w:val="24"/>
                <w:szCs w:val="24"/>
              </w:rPr>
            </w:pPr>
            <w:r>
              <w:rPr>
                <w:rFonts w:ascii="Times New Roman" w:hAnsi="Times New Roman" w:cs="Times New Roman"/>
                <w:b/>
                <w:sz w:val="24"/>
                <w:szCs w:val="24"/>
              </w:rPr>
              <w:t>Tempo (anos) para iniciar o primeiro</w:t>
            </w:r>
            <w:r w:rsidR="00B4610D" w:rsidRPr="00D53A7A">
              <w:rPr>
                <w:rFonts w:ascii="Times New Roman" w:hAnsi="Times New Roman" w:cs="Times New Roman"/>
                <w:b/>
                <w:sz w:val="24"/>
                <w:szCs w:val="24"/>
              </w:rPr>
              <w:t xml:space="preserve"> biológico após diagnóstico (média ± DP) </w:t>
            </w: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(mediana/ IIQ)</w:t>
            </w:r>
          </w:p>
        </w:tc>
        <w:tc>
          <w:tcPr>
            <w:tcW w:w="3716"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8,2 ± 6,2</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(6,8/ 3,6 – 11,2)</w:t>
            </w:r>
          </w:p>
        </w:tc>
      </w:tr>
      <w:tr w:rsidR="00B4610D" w:rsidRPr="00D53A7A" w:rsidTr="00D53A7A">
        <w:tc>
          <w:tcPr>
            <w:tcW w:w="4928"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Uso de drogas biológicas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Anti TNF-alfa:</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Infliximabe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Adalimumabe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Etanercepte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Certolizumabe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Golimumabe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Inibidor da coestimulação Linfócito T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Abatacepte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Anti CD20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Rituximabe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Anti-IL6R</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Tocilizumabe</w:t>
            </w:r>
          </w:p>
        </w:tc>
        <w:tc>
          <w:tcPr>
            <w:tcW w:w="3716"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56,5</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32,1</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45,8</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1,8</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0,8</w:t>
            </w: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15,3</w:t>
            </w: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8,4</w:t>
            </w: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13,8</w:t>
            </w:r>
          </w:p>
        </w:tc>
      </w:tr>
      <w:tr w:rsidR="00B4610D" w:rsidRPr="00D53A7A" w:rsidTr="00D53A7A">
        <w:tc>
          <w:tcPr>
            <w:tcW w:w="4928"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Tempo de uso das drogas biológicas (meses) (média ± DP) (mediana/ IIQ)</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b/>
                <w:sz w:val="24"/>
                <w:szCs w:val="24"/>
              </w:rPr>
              <w:t xml:space="preserve">   </w:t>
            </w:r>
            <w:r w:rsidRPr="00D53A7A">
              <w:rPr>
                <w:rFonts w:ascii="Times New Roman" w:hAnsi="Times New Roman" w:cs="Times New Roman"/>
                <w:sz w:val="24"/>
                <w:szCs w:val="24"/>
              </w:rPr>
              <w:t xml:space="preserve">  Infliximabe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Adalimumabe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Etanercepte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Certolizumabe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lastRenderedPageBreak/>
              <w:t xml:space="preserve">     Golimumabe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Abatacepte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Rituximabe </w:t>
            </w: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sz w:val="24"/>
                <w:szCs w:val="24"/>
              </w:rPr>
              <w:t xml:space="preserve">     Tocilizumabe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b/>
                <w:sz w:val="24"/>
                <w:szCs w:val="24"/>
              </w:rPr>
              <w:t xml:space="preserve">   </w:t>
            </w:r>
          </w:p>
        </w:tc>
        <w:tc>
          <w:tcPr>
            <w:tcW w:w="3716"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20,0 ± 17,8 (14/ 7-30)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15,3 ± 13,7 (9,5/ 7 – 20)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25,0 ± 19,7 (18,5/ 7 – 42)</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7,5 ± 2,1 (7,5/ 6 – 9)</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lastRenderedPageBreak/>
              <w:t>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11,3 ± 14,9 (4/ 1 – 14)</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11,2 ± 15,8 (6/ 1 – 15)</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6,3 ± 6,6 (4/ 1 – 10)</w:t>
            </w:r>
          </w:p>
        </w:tc>
      </w:tr>
      <w:tr w:rsidR="00B4610D" w:rsidRPr="00D53A7A" w:rsidTr="00D53A7A">
        <w:tc>
          <w:tcPr>
            <w:tcW w:w="4928"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lastRenderedPageBreak/>
              <w:t>Suspensão da droga em algum momento da doença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Infliximabe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Adalimumabe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Etanercepte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Certolizumabe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Golimumabe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Abatacepte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Rituximabe</w:t>
            </w: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sz w:val="24"/>
                <w:szCs w:val="24"/>
              </w:rPr>
              <w:t xml:space="preserve">     Tocilizumabe</w:t>
            </w:r>
          </w:p>
          <w:p w:rsidR="00B4610D" w:rsidRPr="00D53A7A" w:rsidRDefault="00B4610D" w:rsidP="00DE79D6">
            <w:pPr>
              <w:spacing w:line="480" w:lineRule="auto"/>
              <w:rPr>
                <w:rFonts w:ascii="Times New Roman" w:hAnsi="Times New Roman" w:cs="Times New Roman"/>
                <w:sz w:val="24"/>
                <w:szCs w:val="24"/>
              </w:rPr>
            </w:pPr>
          </w:p>
        </w:tc>
        <w:tc>
          <w:tcPr>
            <w:tcW w:w="3716"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64,8</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65,0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46,7</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30,0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81,8</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11,1</w:t>
            </w:r>
          </w:p>
          <w:p w:rsidR="00B4610D" w:rsidRPr="00D53A7A" w:rsidRDefault="00B4610D" w:rsidP="00DE79D6">
            <w:pPr>
              <w:spacing w:line="480" w:lineRule="auto"/>
              <w:rPr>
                <w:rFonts w:ascii="Times New Roman" w:hAnsi="Times New Roman" w:cs="Times New Roman"/>
                <w:sz w:val="24"/>
                <w:szCs w:val="24"/>
              </w:rPr>
            </w:pPr>
          </w:p>
        </w:tc>
      </w:tr>
      <w:tr w:rsidR="00B4610D" w:rsidRPr="00D53A7A" w:rsidTr="00D53A7A">
        <w:tc>
          <w:tcPr>
            <w:tcW w:w="4928"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Eventos adversos dos biológicos (%)</w:t>
            </w: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Pacientes que apresentaram evento adverso</w:t>
            </w: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Principais eventos adversos</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b/>
                <w:sz w:val="24"/>
                <w:szCs w:val="24"/>
              </w:rPr>
              <w:t xml:space="preserve">   </w:t>
            </w:r>
            <w:r w:rsidRPr="00D53A7A">
              <w:rPr>
                <w:rFonts w:ascii="Times New Roman" w:hAnsi="Times New Roman" w:cs="Times New Roman"/>
                <w:sz w:val="24"/>
                <w:szCs w:val="24"/>
              </w:rPr>
              <w:t>Reações infusionais</w:t>
            </w:r>
          </w:p>
          <w:p w:rsidR="004E3502" w:rsidRDefault="004E3502" w:rsidP="00DE79D6">
            <w:pPr>
              <w:spacing w:line="480" w:lineRule="auto"/>
              <w:rPr>
                <w:rFonts w:ascii="Times New Roman" w:hAnsi="Times New Roman" w:cs="Times New Roman"/>
                <w:sz w:val="24"/>
                <w:szCs w:val="24"/>
              </w:rPr>
            </w:pPr>
            <w:r>
              <w:rPr>
                <w:rFonts w:ascii="Times New Roman" w:hAnsi="Times New Roman" w:cs="Times New Roman"/>
                <w:sz w:val="24"/>
                <w:szCs w:val="24"/>
              </w:rPr>
              <w:t xml:space="preserve">   Infecções</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Urticária</w:t>
            </w:r>
          </w:p>
        </w:tc>
        <w:tc>
          <w:tcPr>
            <w:tcW w:w="3716"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42,7</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8,6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24,3</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12,1</w:t>
            </w:r>
          </w:p>
        </w:tc>
      </w:tr>
      <w:tr w:rsidR="00B4610D" w:rsidRPr="00D53A7A" w:rsidTr="00D53A7A">
        <w:tc>
          <w:tcPr>
            <w:tcW w:w="4928"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Número de biológicos usados por paciente  (média ± DP)(mediana/ IIQ)</w:t>
            </w:r>
          </w:p>
          <w:p w:rsidR="00B4610D" w:rsidRPr="00D53A7A" w:rsidRDefault="00B4610D" w:rsidP="00DE79D6">
            <w:pPr>
              <w:spacing w:line="480" w:lineRule="auto"/>
              <w:rPr>
                <w:rFonts w:ascii="Times New Roman" w:hAnsi="Times New Roman" w:cs="Times New Roman"/>
                <w:b/>
                <w:sz w:val="24"/>
                <w:szCs w:val="24"/>
              </w:rPr>
            </w:pPr>
          </w:p>
        </w:tc>
        <w:tc>
          <w:tcPr>
            <w:tcW w:w="3716"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1,72 ± 1,03 (1/ 1 - 2)</w:t>
            </w:r>
          </w:p>
        </w:tc>
      </w:tr>
      <w:tr w:rsidR="00B4610D" w:rsidRPr="00D53A7A" w:rsidTr="00D53A7A">
        <w:tc>
          <w:tcPr>
            <w:tcW w:w="4928"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b/>
                <w:sz w:val="24"/>
                <w:szCs w:val="24"/>
              </w:rPr>
              <w:lastRenderedPageBreak/>
              <w:t>Taxa de remissão/ atividade leve (DAS28≤3.2) na última avaliação (%)</w:t>
            </w:r>
            <w:r w:rsidR="00B87CD1">
              <w:rPr>
                <w:rFonts w:ascii="Times New Roman" w:hAnsi="Times New Roman" w:cs="Times New Roman"/>
                <w:b/>
                <w:sz w:val="24"/>
                <w:szCs w:val="24"/>
                <w:vertAlign w:val="superscript"/>
              </w:rPr>
              <w:t>*</w:t>
            </w:r>
            <w:r w:rsidRPr="00D53A7A">
              <w:rPr>
                <w:rFonts w:ascii="Times New Roman" w:hAnsi="Times New Roman" w:cs="Times New Roman"/>
                <w:sz w:val="24"/>
                <w:szCs w:val="24"/>
              </w:rPr>
              <w:t xml:space="preserve">   </w:t>
            </w:r>
          </w:p>
        </w:tc>
        <w:tc>
          <w:tcPr>
            <w:tcW w:w="3716"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22,5 / 32,0</w:t>
            </w:r>
          </w:p>
        </w:tc>
      </w:tr>
      <w:tr w:rsidR="00B4610D" w:rsidRPr="00D53A7A" w:rsidTr="00D53A7A">
        <w:tc>
          <w:tcPr>
            <w:tcW w:w="4928"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Esquemas de tratamento na última avaliação:</w:t>
            </w:r>
          </w:p>
          <w:p w:rsidR="00B4610D" w:rsidRPr="00D53A7A" w:rsidRDefault="00B87CD1" w:rsidP="00DE79D6">
            <w:pPr>
              <w:spacing w:line="480" w:lineRule="auto"/>
              <w:rPr>
                <w:rFonts w:ascii="Times New Roman" w:hAnsi="Times New Roman" w:cs="Times New Roman"/>
                <w:b/>
                <w:sz w:val="24"/>
                <w:szCs w:val="24"/>
              </w:rPr>
            </w:pPr>
            <w:r>
              <w:rPr>
                <w:rFonts w:ascii="Times New Roman" w:hAnsi="Times New Roman" w:cs="Times New Roman"/>
                <w:b/>
                <w:sz w:val="24"/>
                <w:szCs w:val="24"/>
              </w:rPr>
              <w:t>DMCD sintética + DMCD biológica</w:t>
            </w:r>
            <w:r w:rsidRPr="00B87CD1">
              <w:rPr>
                <w:rFonts w:ascii="Times New Roman" w:hAnsi="Times New Roman" w:cs="Times New Roman"/>
                <w:b/>
                <w:sz w:val="24"/>
                <w:szCs w:val="24"/>
                <w:vertAlign w:val="superscript"/>
              </w:rPr>
              <w:t>+</w:t>
            </w:r>
            <w:r w:rsidR="00B4610D" w:rsidRPr="00D53A7A">
              <w:rPr>
                <w:rFonts w:ascii="Times New Roman" w:hAnsi="Times New Roman" w:cs="Times New Roman"/>
                <w:b/>
                <w:sz w:val="24"/>
                <w:szCs w:val="24"/>
              </w:rPr>
              <w:t xml:space="preserve">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MTX e/ou Leflunomida + infliximabe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MTX e/ou Leflunomida + etanercepte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MTX e/ou Leflunomida + adalimumabe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MTX e/ou Leflunomida + abatacepte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MTX e/ou Leflunomida + tocilizumabe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MTX e/ou Leflunomida + golimumabe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MTX e/ou Leflunomida + certolizumabe</w:t>
            </w: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Somente DMCD biológica (%)</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Infliximabe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Etanercepte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Adalimumabe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Tocilizumabe</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Abatacepte</w:t>
            </w:r>
          </w:p>
          <w:p w:rsidR="00B4610D" w:rsidRPr="00D53A7A" w:rsidRDefault="00B4610D" w:rsidP="00DE79D6">
            <w:pPr>
              <w:spacing w:line="480" w:lineRule="auto"/>
              <w:rPr>
                <w:rFonts w:ascii="Times New Roman" w:hAnsi="Times New Roman" w:cs="Times New Roman"/>
                <w:sz w:val="24"/>
                <w:szCs w:val="24"/>
              </w:rPr>
            </w:pPr>
          </w:p>
        </w:tc>
        <w:tc>
          <w:tcPr>
            <w:tcW w:w="3716" w:type="dxa"/>
          </w:tcPr>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76,0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16,8</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23,2</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13,6</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7,2</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12,0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0,8</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0,8</w:t>
            </w:r>
          </w:p>
          <w:p w:rsidR="00B4610D" w:rsidRPr="00D53A7A" w:rsidRDefault="00B4610D" w:rsidP="00DE79D6">
            <w:pPr>
              <w:spacing w:line="480" w:lineRule="auto"/>
              <w:rPr>
                <w:rFonts w:ascii="Times New Roman" w:hAnsi="Times New Roman" w:cs="Times New Roman"/>
                <w:sz w:val="24"/>
                <w:szCs w:val="24"/>
              </w:rPr>
            </w:pP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20,0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3,2</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4,8</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6,4</w:t>
            </w:r>
          </w:p>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5,6</w:t>
            </w:r>
          </w:p>
        </w:tc>
      </w:tr>
    </w:tbl>
    <w:p w:rsidR="00B4610D" w:rsidRDefault="00B87CD1" w:rsidP="00B87CD1">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w:t>
      </w:r>
      <w:r w:rsidR="00B4610D" w:rsidRPr="00D53A7A">
        <w:rPr>
          <w:rFonts w:ascii="Times New Roman" w:hAnsi="Times New Roman" w:cs="Times New Roman"/>
          <w:sz w:val="24"/>
          <w:szCs w:val="24"/>
        </w:rPr>
        <w:t>: Total de 103 pacientes com D</w:t>
      </w:r>
      <w:r>
        <w:rPr>
          <w:rFonts w:ascii="Times New Roman" w:hAnsi="Times New Roman" w:cs="Times New Roman"/>
          <w:sz w:val="24"/>
          <w:szCs w:val="24"/>
        </w:rPr>
        <w:t xml:space="preserve">AS28 registrado no prontuário; </w:t>
      </w:r>
      <w:r w:rsidRPr="00B87CD1">
        <w:rPr>
          <w:rFonts w:ascii="Times New Roman" w:hAnsi="Times New Roman" w:cs="Times New Roman"/>
          <w:sz w:val="24"/>
          <w:szCs w:val="24"/>
          <w:vertAlign w:val="superscript"/>
        </w:rPr>
        <w:t>+</w:t>
      </w:r>
      <w:r w:rsidR="00B4610D" w:rsidRPr="00D53A7A">
        <w:rPr>
          <w:rFonts w:ascii="Times New Roman" w:hAnsi="Times New Roman" w:cs="Times New Roman"/>
          <w:sz w:val="24"/>
          <w:szCs w:val="24"/>
        </w:rPr>
        <w:t>: com ou sem prednisona; DMCD: droga modificadora doença</w:t>
      </w:r>
    </w:p>
    <w:p w:rsidR="00B87CD1" w:rsidRDefault="00B87CD1" w:rsidP="00B87CD1">
      <w:pPr>
        <w:spacing w:line="240" w:lineRule="auto"/>
        <w:rPr>
          <w:rFonts w:ascii="Times New Roman" w:hAnsi="Times New Roman" w:cs="Times New Roman"/>
          <w:sz w:val="24"/>
          <w:szCs w:val="24"/>
        </w:rPr>
      </w:pPr>
    </w:p>
    <w:p w:rsidR="00B87CD1" w:rsidRDefault="00B87CD1" w:rsidP="00B87CD1">
      <w:pPr>
        <w:spacing w:line="240" w:lineRule="auto"/>
        <w:rPr>
          <w:rFonts w:ascii="Times New Roman" w:hAnsi="Times New Roman" w:cs="Times New Roman"/>
          <w:sz w:val="24"/>
          <w:szCs w:val="24"/>
        </w:rPr>
      </w:pPr>
    </w:p>
    <w:p w:rsidR="00B87CD1" w:rsidRDefault="00B87CD1" w:rsidP="00B87CD1">
      <w:pPr>
        <w:spacing w:line="240" w:lineRule="auto"/>
        <w:rPr>
          <w:rFonts w:ascii="Times New Roman" w:hAnsi="Times New Roman" w:cs="Times New Roman"/>
          <w:sz w:val="24"/>
          <w:szCs w:val="24"/>
        </w:rPr>
      </w:pPr>
    </w:p>
    <w:p w:rsidR="00B87CD1" w:rsidRDefault="00B87CD1" w:rsidP="00B87CD1">
      <w:pPr>
        <w:spacing w:line="24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lastRenderedPageBreak/>
        <w:t>Tabela 4. Percentual de uso do biológico como 1ª, 2ª e 3ª opção no tratamento dos pacientes com diagnóstico de Artrite Reumatoide acompanhados no HUWC-UFC</w:t>
      </w:r>
    </w:p>
    <w:tbl>
      <w:tblPr>
        <w:tblStyle w:val="Tabelacomgrade"/>
        <w:tblW w:w="0" w:type="auto"/>
        <w:tblLook w:val="04A0"/>
      </w:tblPr>
      <w:tblGrid>
        <w:gridCol w:w="2161"/>
        <w:gridCol w:w="2161"/>
        <w:gridCol w:w="2161"/>
        <w:gridCol w:w="2161"/>
      </w:tblGrid>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Biológicos</w:t>
            </w:r>
          </w:p>
        </w:tc>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1ª opção</w:t>
            </w:r>
          </w:p>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(n=131)*</w:t>
            </w:r>
          </w:p>
        </w:tc>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2ª opção</w:t>
            </w:r>
          </w:p>
          <w:p w:rsidR="00B4610D" w:rsidRPr="00D53A7A" w:rsidRDefault="00B4610D" w:rsidP="00DE79D6">
            <w:pPr>
              <w:spacing w:line="480" w:lineRule="auto"/>
              <w:rPr>
                <w:rFonts w:ascii="Times New Roman" w:hAnsi="Times New Roman" w:cs="Times New Roman"/>
                <w:b/>
                <w:sz w:val="24"/>
                <w:szCs w:val="24"/>
                <w:vertAlign w:val="superscript"/>
              </w:rPr>
            </w:pPr>
            <w:r w:rsidRPr="00D53A7A">
              <w:rPr>
                <w:rFonts w:ascii="Times New Roman" w:hAnsi="Times New Roman" w:cs="Times New Roman"/>
                <w:b/>
                <w:sz w:val="24"/>
                <w:szCs w:val="24"/>
              </w:rPr>
              <w:t>(n=56)</w:t>
            </w:r>
            <w:r w:rsidR="00B87CD1">
              <w:rPr>
                <w:rFonts w:ascii="Times New Roman" w:hAnsi="Times New Roman" w:cs="Times New Roman"/>
                <w:b/>
                <w:sz w:val="24"/>
                <w:szCs w:val="24"/>
                <w:vertAlign w:val="superscript"/>
              </w:rPr>
              <w:t>+</w:t>
            </w:r>
          </w:p>
        </w:tc>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3ª opção</w:t>
            </w:r>
          </w:p>
          <w:p w:rsidR="00B4610D" w:rsidRPr="00D53A7A" w:rsidRDefault="00B4610D" w:rsidP="00DE79D6">
            <w:pPr>
              <w:spacing w:line="480" w:lineRule="auto"/>
              <w:rPr>
                <w:rFonts w:ascii="Times New Roman" w:hAnsi="Times New Roman" w:cs="Times New Roman"/>
                <w:b/>
                <w:sz w:val="24"/>
                <w:szCs w:val="24"/>
                <w:vertAlign w:val="superscript"/>
              </w:rPr>
            </w:pPr>
            <w:r w:rsidRPr="00D53A7A">
              <w:rPr>
                <w:rFonts w:ascii="Times New Roman" w:hAnsi="Times New Roman" w:cs="Times New Roman"/>
                <w:b/>
                <w:sz w:val="24"/>
                <w:szCs w:val="24"/>
              </w:rPr>
              <w:t>(n=26)</w:t>
            </w:r>
            <w:r w:rsidR="00B87CD1" w:rsidRPr="00B87CD1">
              <w:rPr>
                <w:vertAlign w:val="superscript"/>
              </w:rPr>
              <w:t>§</w:t>
            </w:r>
          </w:p>
        </w:tc>
      </w:tr>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Infliximabe</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53,4</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8,9</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r>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Adalimumabe</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17,5</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26,8</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11,5</w:t>
            </w:r>
          </w:p>
        </w:tc>
      </w:tr>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Etarnecepte</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23,7</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41,1</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23,1</w:t>
            </w:r>
          </w:p>
        </w:tc>
      </w:tr>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Abatacepte</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1,5</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14,3</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26,9</w:t>
            </w:r>
          </w:p>
        </w:tc>
      </w:tr>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Rituximabe</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5,3</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19,2</w:t>
            </w:r>
          </w:p>
        </w:tc>
      </w:tr>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Tocilizumabe</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2,3</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1,8</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19,2</w:t>
            </w:r>
          </w:p>
        </w:tc>
      </w:tr>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Golimumabe</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0,7</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r>
      <w:tr w:rsidR="00B4610D" w:rsidRPr="00D53A7A" w:rsidTr="00D53A7A">
        <w:tc>
          <w:tcPr>
            <w:tcW w:w="2161"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Certolizumabe</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0,7</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c>
          <w:tcPr>
            <w:tcW w:w="2161"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r>
    </w:tbl>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 131 pacientes usaram, no mínimo, 1 agente biológico; </w:t>
      </w:r>
      <w:r w:rsidR="00B87CD1">
        <w:rPr>
          <w:rFonts w:ascii="Times New Roman" w:hAnsi="Times New Roman" w:cs="Times New Roman"/>
          <w:sz w:val="24"/>
          <w:szCs w:val="24"/>
          <w:vertAlign w:val="superscript"/>
        </w:rPr>
        <w:t>+</w:t>
      </w:r>
      <w:r w:rsidRPr="00D53A7A">
        <w:rPr>
          <w:rFonts w:ascii="Times New Roman" w:hAnsi="Times New Roman" w:cs="Times New Roman"/>
          <w:sz w:val="24"/>
          <w:szCs w:val="24"/>
        </w:rPr>
        <w:t xml:space="preserve">: 56 pacientes usaram, pelo menos, 2 agentes biológicos; </w:t>
      </w:r>
      <w:r w:rsidR="00B87CD1" w:rsidRPr="00B87CD1">
        <w:rPr>
          <w:vertAlign w:val="superscript"/>
        </w:rPr>
        <w:t>§</w:t>
      </w:r>
      <w:r w:rsidRPr="00D53A7A">
        <w:rPr>
          <w:rFonts w:ascii="Times New Roman" w:hAnsi="Times New Roman" w:cs="Times New Roman"/>
          <w:sz w:val="24"/>
          <w:szCs w:val="24"/>
        </w:rPr>
        <w:t>: 26 pacientes usaram, pelo menos, 3 agentes biológicos</w:t>
      </w: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Pr="00D53A7A" w:rsidRDefault="00B4610D" w:rsidP="00D53A7A">
      <w:pPr>
        <w:spacing w:line="480" w:lineRule="auto"/>
        <w:rPr>
          <w:rFonts w:ascii="Times New Roman" w:hAnsi="Times New Roman" w:cs="Times New Roman"/>
          <w:sz w:val="24"/>
          <w:szCs w:val="24"/>
        </w:rPr>
      </w:pPr>
    </w:p>
    <w:p w:rsidR="00B4610D" w:rsidRPr="00D53A7A" w:rsidRDefault="00DE79D6" w:rsidP="00D53A7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w:t>
      </w:r>
      <w:r w:rsidR="00B4610D" w:rsidRPr="00D53A7A">
        <w:rPr>
          <w:rFonts w:ascii="Times New Roman" w:hAnsi="Times New Roman" w:cs="Times New Roman"/>
          <w:b/>
          <w:sz w:val="24"/>
          <w:szCs w:val="24"/>
        </w:rPr>
        <w:t>abela 5. Principais motivos para suspensão</w:t>
      </w:r>
      <w:r w:rsidR="00B87CD1">
        <w:rPr>
          <w:rFonts w:ascii="Times New Roman" w:hAnsi="Times New Roman" w:cs="Times New Roman"/>
          <w:b/>
          <w:sz w:val="24"/>
          <w:szCs w:val="24"/>
        </w:rPr>
        <w:t>*</w:t>
      </w:r>
      <w:r w:rsidR="00B4610D" w:rsidRPr="00D53A7A">
        <w:rPr>
          <w:rFonts w:ascii="Times New Roman" w:hAnsi="Times New Roman" w:cs="Times New Roman"/>
          <w:b/>
          <w:sz w:val="24"/>
          <w:szCs w:val="24"/>
        </w:rPr>
        <w:t xml:space="preserve"> das drogas biológicas em 131 pacientes com diagnóstico de Artrite Reumatoide acompanhados no HUWC-UFC </w:t>
      </w:r>
    </w:p>
    <w:tbl>
      <w:tblPr>
        <w:tblStyle w:val="Tabelacomgrade"/>
        <w:tblW w:w="0" w:type="auto"/>
        <w:tblLook w:val="04A0"/>
      </w:tblPr>
      <w:tblGrid>
        <w:gridCol w:w="1694"/>
        <w:gridCol w:w="1694"/>
        <w:gridCol w:w="1695"/>
        <w:gridCol w:w="1694"/>
        <w:gridCol w:w="1695"/>
      </w:tblGrid>
      <w:tr w:rsidR="00B4610D" w:rsidRPr="00D53A7A" w:rsidTr="00D53A7A">
        <w:tc>
          <w:tcPr>
            <w:tcW w:w="1694" w:type="dxa"/>
          </w:tcPr>
          <w:p w:rsidR="00B4610D"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Drogas</w:t>
            </w:r>
          </w:p>
          <w:p w:rsidR="00DE79D6" w:rsidRPr="00D53A7A" w:rsidRDefault="00DE79D6" w:rsidP="00DE79D6">
            <w:pPr>
              <w:spacing w:line="480" w:lineRule="auto"/>
              <w:rPr>
                <w:rFonts w:ascii="Times New Roman" w:hAnsi="Times New Roman" w:cs="Times New Roman"/>
                <w:sz w:val="24"/>
                <w:szCs w:val="24"/>
              </w:rPr>
            </w:pPr>
          </w:p>
        </w:tc>
        <w:tc>
          <w:tcPr>
            <w:tcW w:w="1694"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Remissão (%)</w:t>
            </w:r>
          </w:p>
          <w:p w:rsidR="00B4610D" w:rsidRPr="00D53A7A" w:rsidRDefault="00B4610D" w:rsidP="00DE79D6">
            <w:pPr>
              <w:spacing w:line="480" w:lineRule="auto"/>
              <w:rPr>
                <w:rFonts w:ascii="Times New Roman" w:hAnsi="Times New Roman" w:cs="Times New Roman"/>
                <w:b/>
                <w:sz w:val="24"/>
                <w:szCs w:val="24"/>
              </w:rPr>
            </w:pPr>
          </w:p>
        </w:tc>
        <w:tc>
          <w:tcPr>
            <w:tcW w:w="1695"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Evento adverso (%)</w:t>
            </w:r>
          </w:p>
        </w:tc>
        <w:tc>
          <w:tcPr>
            <w:tcW w:w="1694"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Não resposta (%)</w:t>
            </w:r>
          </w:p>
        </w:tc>
        <w:tc>
          <w:tcPr>
            <w:tcW w:w="1695" w:type="dxa"/>
          </w:tcPr>
          <w:p w:rsidR="00B4610D" w:rsidRPr="00D53A7A" w:rsidRDefault="00B4610D" w:rsidP="00DE79D6">
            <w:pPr>
              <w:spacing w:line="480" w:lineRule="auto"/>
              <w:rPr>
                <w:rFonts w:ascii="Times New Roman" w:hAnsi="Times New Roman" w:cs="Times New Roman"/>
                <w:b/>
                <w:sz w:val="24"/>
                <w:szCs w:val="24"/>
              </w:rPr>
            </w:pPr>
            <w:r w:rsidRPr="00D53A7A">
              <w:rPr>
                <w:rFonts w:ascii="Times New Roman" w:hAnsi="Times New Roman" w:cs="Times New Roman"/>
                <w:b/>
                <w:sz w:val="24"/>
                <w:szCs w:val="24"/>
              </w:rPr>
              <w:t>Não aderência (%)</w:t>
            </w:r>
          </w:p>
        </w:tc>
      </w:tr>
      <w:tr w:rsidR="00B4610D" w:rsidRPr="00D53A7A" w:rsidTr="00D53A7A">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Infliximabe </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1,9</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39,6</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54,7</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3,8</w:t>
            </w:r>
          </w:p>
        </w:tc>
      </w:tr>
      <w:tr w:rsidR="00B4610D" w:rsidRPr="00D53A7A" w:rsidTr="00D53A7A">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Adalimumabe </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3,6</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17,8</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67,8</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10,7</w:t>
            </w:r>
          </w:p>
        </w:tc>
      </w:tr>
      <w:tr w:rsidR="00B4610D" w:rsidRPr="00D53A7A" w:rsidTr="00D53A7A">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Etanercepte </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24,1</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66,6</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3,4</w:t>
            </w:r>
          </w:p>
        </w:tc>
      </w:tr>
      <w:tr w:rsidR="00B4610D" w:rsidRPr="00D53A7A" w:rsidTr="00D53A7A">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Certolizumabe </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w:t>
            </w:r>
          </w:p>
        </w:tc>
      </w:tr>
      <w:tr w:rsidR="00B4610D" w:rsidRPr="00D53A7A" w:rsidTr="00D53A7A">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Golimumabe </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w:t>
            </w:r>
          </w:p>
        </w:tc>
      </w:tr>
      <w:tr w:rsidR="00B4610D" w:rsidRPr="00D53A7A" w:rsidTr="00D53A7A">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Abatacepte </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16,6</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66,7</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r>
      <w:tr w:rsidR="00B4610D" w:rsidRPr="00D53A7A" w:rsidTr="00D53A7A">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Rituximabe </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12,5</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25,0</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62,5</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r>
      <w:tr w:rsidR="00B4610D" w:rsidRPr="00D53A7A" w:rsidTr="00D53A7A">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 xml:space="preserve">Tocilizumabe </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50,0</w:t>
            </w:r>
          </w:p>
        </w:tc>
        <w:tc>
          <w:tcPr>
            <w:tcW w:w="1694"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50,0</w:t>
            </w:r>
          </w:p>
        </w:tc>
        <w:tc>
          <w:tcPr>
            <w:tcW w:w="1695" w:type="dxa"/>
          </w:tcPr>
          <w:p w:rsidR="00B4610D" w:rsidRPr="00D53A7A" w:rsidRDefault="00B4610D" w:rsidP="00DE79D6">
            <w:pPr>
              <w:spacing w:line="480" w:lineRule="auto"/>
              <w:rPr>
                <w:rFonts w:ascii="Times New Roman" w:hAnsi="Times New Roman" w:cs="Times New Roman"/>
                <w:sz w:val="24"/>
                <w:szCs w:val="24"/>
              </w:rPr>
            </w:pPr>
            <w:r w:rsidRPr="00D53A7A">
              <w:rPr>
                <w:rFonts w:ascii="Times New Roman" w:hAnsi="Times New Roman" w:cs="Times New Roman"/>
                <w:sz w:val="24"/>
                <w:szCs w:val="24"/>
              </w:rPr>
              <w:t>0,0</w:t>
            </w:r>
          </w:p>
        </w:tc>
      </w:tr>
    </w:tbl>
    <w:p w:rsidR="00B87CD1" w:rsidRDefault="00B87CD1" w:rsidP="00B87CD1">
      <w:pPr>
        <w:spacing w:line="240" w:lineRule="auto"/>
        <w:rPr>
          <w:rFonts w:ascii="Times New Roman" w:hAnsi="Times New Roman" w:cs="Times New Roman"/>
          <w:b/>
          <w:sz w:val="24"/>
          <w:szCs w:val="24"/>
          <w:vertAlign w:val="superscript"/>
        </w:rPr>
      </w:pPr>
    </w:p>
    <w:p w:rsidR="00B4610D" w:rsidRPr="00B87CD1" w:rsidRDefault="00B87CD1" w:rsidP="00B87CD1">
      <w:pPr>
        <w:spacing w:line="240" w:lineRule="auto"/>
        <w:rPr>
          <w:rFonts w:ascii="Times New Roman" w:hAnsi="Times New Roman" w:cs="Times New Roman"/>
          <w:sz w:val="24"/>
          <w:szCs w:val="24"/>
        </w:rPr>
      </w:pPr>
      <w:r w:rsidRPr="00B87CD1">
        <w:rPr>
          <w:rFonts w:ascii="Times New Roman" w:hAnsi="Times New Roman" w:cs="Times New Roman"/>
          <w:b/>
          <w:sz w:val="24"/>
          <w:szCs w:val="24"/>
          <w:vertAlign w:val="superscript"/>
        </w:rPr>
        <w:t>*</w:t>
      </w:r>
      <w:r w:rsidR="00B4610D" w:rsidRPr="00B87CD1">
        <w:rPr>
          <w:rFonts w:ascii="Times New Roman" w:hAnsi="Times New Roman" w:cs="Times New Roman"/>
          <w:sz w:val="24"/>
          <w:szCs w:val="24"/>
        </w:rPr>
        <w:t>Alguns pacientes apresentaram mais de 1 motivo</w:t>
      </w:r>
    </w:p>
    <w:p w:rsidR="00B4610D" w:rsidRPr="00B87CD1" w:rsidRDefault="00B4610D" w:rsidP="00D53A7A">
      <w:pPr>
        <w:spacing w:line="480" w:lineRule="auto"/>
        <w:rPr>
          <w:rFonts w:ascii="Times New Roman" w:hAnsi="Times New Roman" w:cs="Times New Roman"/>
          <w:sz w:val="24"/>
          <w:szCs w:val="24"/>
        </w:rPr>
      </w:pPr>
    </w:p>
    <w:p w:rsidR="00B4610D" w:rsidRDefault="00B4610D" w:rsidP="00D53A7A">
      <w:pPr>
        <w:spacing w:line="480" w:lineRule="auto"/>
        <w:rPr>
          <w:rFonts w:ascii="Times New Roman" w:hAnsi="Times New Roman" w:cs="Times New Roman"/>
          <w:sz w:val="24"/>
          <w:szCs w:val="24"/>
        </w:rPr>
      </w:pPr>
    </w:p>
    <w:p w:rsidR="00596FEC" w:rsidRDefault="00596FEC" w:rsidP="00D53A7A">
      <w:pPr>
        <w:spacing w:line="480" w:lineRule="auto"/>
        <w:rPr>
          <w:rFonts w:ascii="Times New Roman" w:hAnsi="Times New Roman" w:cs="Times New Roman"/>
          <w:sz w:val="24"/>
          <w:szCs w:val="24"/>
        </w:rPr>
      </w:pPr>
    </w:p>
    <w:p w:rsidR="00596FEC" w:rsidRDefault="00596FEC" w:rsidP="00D53A7A">
      <w:pPr>
        <w:spacing w:line="480" w:lineRule="auto"/>
        <w:rPr>
          <w:rFonts w:ascii="Times New Roman" w:hAnsi="Times New Roman" w:cs="Times New Roman"/>
          <w:sz w:val="24"/>
          <w:szCs w:val="24"/>
        </w:rPr>
      </w:pPr>
    </w:p>
    <w:p w:rsidR="00596FEC" w:rsidRDefault="00596FEC" w:rsidP="00D53A7A">
      <w:pPr>
        <w:spacing w:line="480" w:lineRule="auto"/>
        <w:rPr>
          <w:rFonts w:ascii="Times New Roman" w:hAnsi="Times New Roman" w:cs="Times New Roman"/>
          <w:sz w:val="24"/>
          <w:szCs w:val="24"/>
        </w:rPr>
      </w:pPr>
    </w:p>
    <w:p w:rsidR="00596FEC" w:rsidRDefault="00596FEC" w:rsidP="00D53A7A">
      <w:pPr>
        <w:spacing w:line="480" w:lineRule="auto"/>
        <w:rPr>
          <w:rFonts w:ascii="Times New Roman" w:hAnsi="Times New Roman" w:cs="Times New Roman"/>
          <w:sz w:val="24"/>
          <w:szCs w:val="24"/>
        </w:rPr>
      </w:pPr>
    </w:p>
    <w:p w:rsidR="00596FEC" w:rsidRDefault="00596FEC" w:rsidP="00D53A7A">
      <w:pPr>
        <w:spacing w:line="480" w:lineRule="auto"/>
        <w:rPr>
          <w:rFonts w:ascii="Times New Roman" w:hAnsi="Times New Roman" w:cs="Times New Roman"/>
          <w:sz w:val="24"/>
          <w:szCs w:val="24"/>
        </w:rPr>
      </w:pPr>
    </w:p>
    <w:p w:rsidR="00596FEC" w:rsidRDefault="00596FEC" w:rsidP="00D53A7A">
      <w:pPr>
        <w:spacing w:line="480" w:lineRule="auto"/>
        <w:rPr>
          <w:rFonts w:ascii="Times New Roman" w:hAnsi="Times New Roman" w:cs="Times New Roman"/>
          <w:sz w:val="24"/>
          <w:szCs w:val="24"/>
        </w:rPr>
      </w:pPr>
    </w:p>
    <w:sectPr w:rsidR="00596FEC" w:rsidSect="002275DA">
      <w:headerReference w:type="default" r:id="rId24"/>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A2" w:rsidRDefault="00B10DA2" w:rsidP="00D53A7A">
      <w:pPr>
        <w:spacing w:after="0" w:line="240" w:lineRule="auto"/>
      </w:pPr>
      <w:r>
        <w:separator/>
      </w:r>
    </w:p>
  </w:endnote>
  <w:endnote w:type="continuationSeparator" w:id="0">
    <w:p w:rsidR="00B10DA2" w:rsidRDefault="00B10DA2" w:rsidP="00D53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A2" w:rsidRDefault="00B10DA2" w:rsidP="00D53A7A">
      <w:pPr>
        <w:spacing w:after="0" w:line="240" w:lineRule="auto"/>
      </w:pPr>
      <w:r>
        <w:separator/>
      </w:r>
    </w:p>
  </w:footnote>
  <w:footnote w:type="continuationSeparator" w:id="0">
    <w:p w:rsidR="00B10DA2" w:rsidRDefault="00B10DA2" w:rsidP="00D53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077"/>
      <w:docPartObj>
        <w:docPartGallery w:val="Page Numbers (Top of Page)"/>
        <w:docPartUnique/>
      </w:docPartObj>
    </w:sdtPr>
    <w:sdtContent>
      <w:p w:rsidR="000E3FA4" w:rsidRDefault="000E3FA4">
        <w:pPr>
          <w:pStyle w:val="Cabealho"/>
          <w:jc w:val="right"/>
        </w:pPr>
        <w:fldSimple w:instr=" PAGE   \* MERGEFORMAT ">
          <w:r w:rsidR="003202E4">
            <w:rPr>
              <w:noProof/>
            </w:rPr>
            <w:t>1</w:t>
          </w:r>
        </w:fldSimple>
      </w:p>
    </w:sdtContent>
  </w:sdt>
  <w:p w:rsidR="000E3FA4" w:rsidRDefault="000E3F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4F02"/>
    <w:multiLevelType w:val="hybridMultilevel"/>
    <w:tmpl w:val="EA5A16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75DA"/>
    <w:rsid w:val="00017397"/>
    <w:rsid w:val="000C0DD4"/>
    <w:rsid w:val="000E3FA4"/>
    <w:rsid w:val="001F4F56"/>
    <w:rsid w:val="0021244C"/>
    <w:rsid w:val="002275DA"/>
    <w:rsid w:val="00237AA6"/>
    <w:rsid w:val="00284075"/>
    <w:rsid w:val="002873FB"/>
    <w:rsid w:val="003202E4"/>
    <w:rsid w:val="003A0A38"/>
    <w:rsid w:val="003D38AB"/>
    <w:rsid w:val="004003AD"/>
    <w:rsid w:val="004367EB"/>
    <w:rsid w:val="00442984"/>
    <w:rsid w:val="004E3502"/>
    <w:rsid w:val="00503E60"/>
    <w:rsid w:val="00515579"/>
    <w:rsid w:val="00573AA0"/>
    <w:rsid w:val="00596FEC"/>
    <w:rsid w:val="005A32CE"/>
    <w:rsid w:val="006A522D"/>
    <w:rsid w:val="00707D17"/>
    <w:rsid w:val="00714800"/>
    <w:rsid w:val="008D53EF"/>
    <w:rsid w:val="009263BD"/>
    <w:rsid w:val="00A851E8"/>
    <w:rsid w:val="00A93CD5"/>
    <w:rsid w:val="00AC0175"/>
    <w:rsid w:val="00B10DA2"/>
    <w:rsid w:val="00B4588E"/>
    <w:rsid w:val="00B4610D"/>
    <w:rsid w:val="00B75126"/>
    <w:rsid w:val="00B87CD1"/>
    <w:rsid w:val="00B938BD"/>
    <w:rsid w:val="00B9494B"/>
    <w:rsid w:val="00BA78F6"/>
    <w:rsid w:val="00C373F9"/>
    <w:rsid w:val="00D53A7A"/>
    <w:rsid w:val="00D91607"/>
    <w:rsid w:val="00DE79D6"/>
    <w:rsid w:val="00EE7459"/>
    <w:rsid w:val="00F12FFA"/>
    <w:rsid w:val="00FA2F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o">
    <w:name w:val="go"/>
    <w:basedOn w:val="Fontepargpadro"/>
    <w:rsid w:val="002275DA"/>
  </w:style>
  <w:style w:type="character" w:styleId="Hyperlink">
    <w:name w:val="Hyperlink"/>
    <w:basedOn w:val="Fontepargpadro"/>
    <w:uiPriority w:val="99"/>
    <w:unhideWhenUsed/>
    <w:rsid w:val="002275DA"/>
    <w:rPr>
      <w:color w:val="0000FF" w:themeColor="hyperlink"/>
      <w:u w:val="single"/>
    </w:rPr>
  </w:style>
  <w:style w:type="paragraph" w:styleId="PargrafodaLista">
    <w:name w:val="List Paragraph"/>
    <w:basedOn w:val="Normal"/>
    <w:uiPriority w:val="34"/>
    <w:qFormat/>
    <w:rsid w:val="00B4610D"/>
    <w:pPr>
      <w:ind w:left="720"/>
      <w:contextualSpacing/>
    </w:pPr>
  </w:style>
  <w:style w:type="paragraph" w:styleId="Textodecomentrio">
    <w:name w:val="annotation text"/>
    <w:basedOn w:val="Normal"/>
    <w:link w:val="TextodecomentrioChar"/>
    <w:uiPriority w:val="99"/>
    <w:unhideWhenUsed/>
    <w:rsid w:val="00B4610D"/>
    <w:pPr>
      <w:spacing w:line="240" w:lineRule="auto"/>
    </w:pPr>
    <w:rPr>
      <w:sz w:val="20"/>
      <w:szCs w:val="20"/>
    </w:rPr>
  </w:style>
  <w:style w:type="character" w:customStyle="1" w:styleId="TextodecomentrioChar">
    <w:name w:val="Texto de comentário Char"/>
    <w:basedOn w:val="Fontepargpadro"/>
    <w:link w:val="Textodecomentrio"/>
    <w:uiPriority w:val="99"/>
    <w:rsid w:val="00B4610D"/>
    <w:rPr>
      <w:sz w:val="20"/>
      <w:szCs w:val="20"/>
    </w:rPr>
  </w:style>
  <w:style w:type="character" w:styleId="Refdecomentrio">
    <w:name w:val="annotation reference"/>
    <w:basedOn w:val="Fontepargpadro"/>
    <w:uiPriority w:val="99"/>
    <w:semiHidden/>
    <w:unhideWhenUsed/>
    <w:rsid w:val="00B4610D"/>
    <w:rPr>
      <w:sz w:val="16"/>
      <w:szCs w:val="16"/>
    </w:rPr>
  </w:style>
  <w:style w:type="character" w:customStyle="1" w:styleId="apple-converted-space">
    <w:name w:val="apple-converted-space"/>
    <w:basedOn w:val="Fontepargpadro"/>
    <w:rsid w:val="00B4610D"/>
  </w:style>
  <w:style w:type="paragraph" w:styleId="Textodebalo">
    <w:name w:val="Balloon Text"/>
    <w:basedOn w:val="Normal"/>
    <w:link w:val="TextodebaloChar"/>
    <w:uiPriority w:val="99"/>
    <w:semiHidden/>
    <w:unhideWhenUsed/>
    <w:rsid w:val="00B46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10D"/>
    <w:rPr>
      <w:rFonts w:ascii="Tahoma" w:hAnsi="Tahoma" w:cs="Tahoma"/>
      <w:sz w:val="16"/>
      <w:szCs w:val="16"/>
    </w:rPr>
  </w:style>
  <w:style w:type="table" w:styleId="Tabelacomgrade">
    <w:name w:val="Table Grid"/>
    <w:basedOn w:val="Tabelanormal"/>
    <w:uiPriority w:val="59"/>
    <w:rsid w:val="00B4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D53A7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53A7A"/>
    <w:rPr>
      <w:sz w:val="20"/>
      <w:szCs w:val="20"/>
    </w:rPr>
  </w:style>
  <w:style w:type="character" w:styleId="Refdenotadefim">
    <w:name w:val="endnote reference"/>
    <w:basedOn w:val="Fontepargpadro"/>
    <w:uiPriority w:val="99"/>
    <w:semiHidden/>
    <w:unhideWhenUsed/>
    <w:rsid w:val="00D53A7A"/>
    <w:rPr>
      <w:vertAlign w:val="superscript"/>
    </w:rPr>
  </w:style>
  <w:style w:type="paragraph" w:styleId="Cabealho">
    <w:name w:val="header"/>
    <w:basedOn w:val="Normal"/>
    <w:link w:val="CabealhoChar"/>
    <w:uiPriority w:val="99"/>
    <w:unhideWhenUsed/>
    <w:rsid w:val="00D53A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3A7A"/>
  </w:style>
  <w:style w:type="paragraph" w:styleId="Rodap">
    <w:name w:val="footer"/>
    <w:basedOn w:val="Normal"/>
    <w:link w:val="RodapChar"/>
    <w:uiPriority w:val="99"/>
    <w:unhideWhenUsed/>
    <w:rsid w:val="00D53A7A"/>
    <w:pPr>
      <w:tabs>
        <w:tab w:val="center" w:pos="4252"/>
        <w:tab w:val="right" w:pos="8504"/>
      </w:tabs>
      <w:spacing w:after="0" w:line="240" w:lineRule="auto"/>
    </w:pPr>
  </w:style>
  <w:style w:type="character" w:customStyle="1" w:styleId="RodapChar">
    <w:name w:val="Rodapé Char"/>
    <w:basedOn w:val="Fontepargpadro"/>
    <w:link w:val="Rodap"/>
    <w:uiPriority w:val="99"/>
    <w:rsid w:val="00D53A7A"/>
  </w:style>
  <w:style w:type="paragraph" w:styleId="Assuntodocomentrio">
    <w:name w:val="annotation subject"/>
    <w:basedOn w:val="Textodecomentrio"/>
    <w:next w:val="Textodecomentrio"/>
    <w:link w:val="AssuntodocomentrioChar"/>
    <w:uiPriority w:val="99"/>
    <w:semiHidden/>
    <w:unhideWhenUsed/>
    <w:rsid w:val="00D91607"/>
    <w:rPr>
      <w:b/>
      <w:bCs/>
    </w:rPr>
  </w:style>
  <w:style w:type="character" w:customStyle="1" w:styleId="AssuntodocomentrioChar">
    <w:name w:val="Assunto do comentário Char"/>
    <w:basedOn w:val="TextodecomentrioChar"/>
    <w:link w:val="Assuntodocomentrio"/>
    <w:uiPriority w:val="99"/>
    <w:semiHidden/>
    <w:rsid w:val="00D9160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Kourbeti%20IS%5BAuthor%5D&amp;cauthor=true&amp;cauthor_uid=24647016" TargetMode="External"/><Relationship Id="rId13" Type="http://schemas.openxmlformats.org/officeDocument/2006/relationships/hyperlink" Target="http://www.ncbi.nlm.nih.gov/pubmed/?term=Titton%20DC%5BAuthor%5D&amp;cauthor=true&amp;cauthor_uid=21584421" TargetMode="External"/><Relationship Id="rId18" Type="http://schemas.openxmlformats.org/officeDocument/2006/relationships/hyperlink" Target="http://www.ncbi.nlm.nih.gov/pubmed/?term=Ranza%20R%5BAuthor%5D&amp;cauthor=true&amp;cauthor_uid=215844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pubmed/?term=Kawatkar%20AA%5BAuthor%5D&amp;cauthor=true&amp;cauthor_uid=25618317" TargetMode="External"/><Relationship Id="rId7" Type="http://schemas.openxmlformats.org/officeDocument/2006/relationships/endnotes" Target="endnotes.xml"/><Relationship Id="rId12" Type="http://schemas.openxmlformats.org/officeDocument/2006/relationships/hyperlink" Target="http://www.ncbi.nlm.nih.gov/pubmed/25532946" TargetMode="External"/><Relationship Id="rId17" Type="http://schemas.openxmlformats.org/officeDocument/2006/relationships/hyperlink" Target="http://www.ncbi.nlm.nih.gov/pubmed/?term=Carvalho%20HM%5BAuthor%5D&amp;cauthor=true&amp;cauthor_uid=215844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Hayata%20AL%5BAuthor%5D&amp;cauthor=true&amp;cauthor_uid=21584421" TargetMode="External"/><Relationship Id="rId20" Type="http://schemas.openxmlformats.org/officeDocument/2006/relationships/hyperlink" Target="http://www.ncbi.nlm.nih.gov/pubmed/?term=Chu%20LH%5BAuthor%5D&amp;cauthor=true&amp;cauthor_uid=25618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Abasolo%20L%5BAuthor%5D&amp;cauthor=true&amp;cauthor_uid=2553294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cbi.nlm.nih.gov/pubmed/?term=Louzada-Junior%20P%5BAuthor%5D&amp;cauthor=true&amp;cauthor_uid=21584421" TargetMode="External"/><Relationship Id="rId23" Type="http://schemas.openxmlformats.org/officeDocument/2006/relationships/hyperlink" Target="http://www.ncbi.nlm.nih.gov/pubmed/25618317" TargetMode="External"/><Relationship Id="rId10" Type="http://schemas.openxmlformats.org/officeDocument/2006/relationships/hyperlink" Target="http://www.ncbi.nlm.nih.gov/pubmed/24339352" TargetMode="External"/><Relationship Id="rId19" Type="http://schemas.openxmlformats.org/officeDocument/2006/relationships/hyperlink" Target="http://www.ncbi.nlm.nih.gov/pubmed/25496045" TargetMode="External"/><Relationship Id="rId4" Type="http://schemas.openxmlformats.org/officeDocument/2006/relationships/settings" Target="settings.xml"/><Relationship Id="rId9" Type="http://schemas.openxmlformats.org/officeDocument/2006/relationships/hyperlink" Target="http://www.ncbi.nlm.nih.gov/pubmed/24647016" TargetMode="External"/><Relationship Id="rId14" Type="http://schemas.openxmlformats.org/officeDocument/2006/relationships/hyperlink" Target="http://www.ncbi.nlm.nih.gov/pubmed/?term=Silveira%20IG%5BAuthor%5D&amp;cauthor=true&amp;cauthor_uid=21584421" TargetMode="External"/><Relationship Id="rId22" Type="http://schemas.openxmlformats.org/officeDocument/2006/relationships/hyperlink" Target="http://www.ncbi.nlm.nih.gov/pubmed/?term=Gabriel%20SE%5BAuthor%5D&amp;cauthor=true&amp;cauthor_uid=2561831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31B-18CF-45E4-8F1E-8D643349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4754</Words>
  <Characters>25676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2</cp:revision>
  <cp:lastPrinted>2015-06-11T22:52:00Z</cp:lastPrinted>
  <dcterms:created xsi:type="dcterms:W3CDTF">2015-06-22T21:41:00Z</dcterms:created>
  <dcterms:modified xsi:type="dcterms:W3CDTF">2015-06-22T21:41:00Z</dcterms:modified>
</cp:coreProperties>
</file>