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9A2" w:rsidRDefault="007329A2" w:rsidP="007329A2">
      <w:pPr>
        <w:ind w:left="0"/>
        <w:rPr>
          <w:rFonts w:ascii="Verdana" w:eastAsia="Times New Roman" w:hAnsi="Verdana" w:cs="Times New Roman"/>
          <w:b/>
          <w:sz w:val="24"/>
          <w:szCs w:val="24"/>
        </w:rPr>
      </w:pPr>
      <w:r w:rsidRPr="00097B35">
        <w:rPr>
          <w:rFonts w:ascii="Verdana" w:eastAsia="Times New Roman" w:hAnsi="Verdana" w:cs="Times New Roman"/>
          <w:b/>
          <w:sz w:val="24"/>
          <w:szCs w:val="24"/>
        </w:rPr>
        <w:t>ANEXO 1</w:t>
      </w:r>
    </w:p>
    <w:p w:rsidR="00CB0A70" w:rsidRPr="00097B35" w:rsidRDefault="00CB0A70" w:rsidP="007329A2">
      <w:pPr>
        <w:ind w:left="0"/>
        <w:rPr>
          <w:rFonts w:ascii="Verdana" w:eastAsia="Times New Roman" w:hAnsi="Verdana" w:cs="Times New Roman"/>
          <w:b/>
          <w:sz w:val="24"/>
          <w:szCs w:val="24"/>
        </w:rPr>
      </w:pPr>
    </w:p>
    <w:p w:rsidR="007329A2" w:rsidRPr="00097B35" w:rsidRDefault="007329A2" w:rsidP="00CB0A70">
      <w:pPr>
        <w:spacing w:line="360" w:lineRule="auto"/>
        <w:ind w:left="0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t>31.out.2019 às 2h00</w:t>
      </w:r>
    </w:p>
    <w:p w:rsidR="007329A2" w:rsidRPr="00097B35" w:rsidRDefault="007329A2" w:rsidP="007329A2">
      <w:pPr>
        <w:spacing w:line="360" w:lineRule="auto"/>
        <w:ind w:firstLine="720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097B35">
        <w:rPr>
          <w:rFonts w:ascii="Verdana" w:eastAsia="Times New Roman" w:hAnsi="Verdana" w:cs="Times New Roman"/>
          <w:b/>
          <w:sz w:val="24"/>
          <w:szCs w:val="24"/>
        </w:rPr>
        <w:t>Fábrica de Coringas</w:t>
      </w:r>
    </w:p>
    <w:p w:rsidR="007329A2" w:rsidRPr="00097B35" w:rsidRDefault="007329A2" w:rsidP="007329A2">
      <w:pPr>
        <w:spacing w:line="360" w:lineRule="auto"/>
        <w:ind w:firstLine="720"/>
        <w:jc w:val="right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t>Alexandre Schneider</w:t>
      </w:r>
    </w:p>
    <w:p w:rsidR="007329A2" w:rsidRPr="00097B35" w:rsidRDefault="007329A2" w:rsidP="007329A2">
      <w:pPr>
        <w:spacing w:line="360" w:lineRule="auto"/>
        <w:ind w:firstLine="113"/>
        <w:rPr>
          <w:rFonts w:ascii="Verdana" w:eastAsia="Times New Roman" w:hAnsi="Verdana" w:cs="Times New Roman"/>
          <w:sz w:val="24"/>
          <w:szCs w:val="24"/>
        </w:rPr>
      </w:pPr>
    </w:p>
    <w:p w:rsidR="007329A2" w:rsidRPr="00097B35" w:rsidRDefault="007329A2" w:rsidP="00866B73">
      <w:pPr>
        <w:spacing w:line="360" w:lineRule="auto"/>
        <w:ind w:firstLine="1134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t>Maior desigualdade e frustração de expectativas da população ameaçam coesão social</w:t>
      </w:r>
    </w:p>
    <w:tbl>
      <w:tblPr>
        <w:tblW w:w="9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8593"/>
      </w:tblGrid>
      <w:tr w:rsidR="007329A2" w:rsidRPr="00097B35" w:rsidTr="00CB0A70">
        <w:trPr>
          <w:cantSplit/>
          <w:trHeight w:val="1134"/>
        </w:trPr>
        <w:tc>
          <w:tcPr>
            <w:tcW w:w="846" w:type="dxa"/>
            <w:shd w:val="clear" w:color="auto" w:fill="auto"/>
            <w:textDirection w:val="btLr"/>
            <w:vAlign w:val="center"/>
          </w:tcPr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Etapa 1</w:t>
            </w:r>
          </w:p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Contextualização</w:t>
            </w:r>
          </w:p>
        </w:tc>
        <w:tc>
          <w:tcPr>
            <w:tcW w:w="8593" w:type="dxa"/>
            <w:shd w:val="clear" w:color="auto" w:fill="auto"/>
          </w:tcPr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“Eles não dão a mínima para pessoas como você. Eles não dão a mínima para pessoas como eu também”. 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As frases são ditas pela médica de um posto público de saúde mental após dar a seu paciente a notícia de que seu tratamento seria interrompido, pois o posto seria fechado devido a um corte de custos na cidade. São do excelente filme “</w:t>
            </w:r>
            <w:hyperlink r:id="rId6">
              <w:r w:rsidRPr="00097B35">
                <w:rPr>
                  <w:rFonts w:ascii="Verdana" w:eastAsia="Times New Roman" w:hAnsi="Verdana" w:cs="Times New Roman"/>
                  <w:sz w:val="24"/>
                  <w:szCs w:val="24"/>
                </w:rPr>
                <w:t>Coringa</w:t>
              </w:r>
            </w:hyperlink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”, que aconselho o leitor a assistir (caso já não o tenha feito). 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Mesmo que não tenha sido essa a intenção, o filme é uma boa alegoria dos nossos tempos. 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Arthur, seu personagem principal, mora mal, tem um emprego precário e utiliza o sistema público de saúde para acompanhar, também de forma precária, sua doença mental. Perde o emprego e, quase simultaneamente, o acesso ao tratamento e aos remédios, dados o corte de custos e sua incapacidade de arcar com as possíveis despesas no mercado privado.</w:t>
            </w:r>
          </w:p>
          <w:p w:rsidR="007329A2" w:rsidRPr="00097B35" w:rsidRDefault="007329A2" w:rsidP="00AF4677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Arthur é um dos “perdedores”, e hipoteca sua derrota na falta de empatia “deles”: seu chefe, seus colegas de trabalho, seu suposto pai, a </w:t>
            </w:r>
            <w:proofErr w:type="gramStart"/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sociedade.  </w:t>
            </w:r>
            <w:proofErr w:type="gramEnd"/>
          </w:p>
        </w:tc>
      </w:tr>
      <w:tr w:rsidR="007329A2" w:rsidRPr="00097B35" w:rsidTr="00CB0A70">
        <w:trPr>
          <w:cantSplit/>
          <w:trHeight w:val="2519"/>
        </w:trPr>
        <w:tc>
          <w:tcPr>
            <w:tcW w:w="846" w:type="dxa"/>
            <w:textDirection w:val="btLr"/>
            <w:vAlign w:val="center"/>
          </w:tcPr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   Etapa 2 </w:t>
            </w:r>
          </w:p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 Argumento 1</w:t>
            </w:r>
          </w:p>
        </w:tc>
        <w:tc>
          <w:tcPr>
            <w:tcW w:w="8593" w:type="dxa"/>
          </w:tcPr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Desde o início da década, as democracias testemunham movimentos semelhantes: grandes manifestações cujo pavio é aceso por uma questão específica—o aumento das passagens de ônibus em São Paulo, </w:t>
            </w:r>
            <w:hyperlink r:id="rId7">
              <w:r w:rsidRPr="00097B35">
                <w:rPr>
                  <w:rFonts w:ascii="Verdana" w:eastAsia="Times New Roman" w:hAnsi="Verdana" w:cs="Times New Roman"/>
                  <w:sz w:val="24"/>
                  <w:szCs w:val="24"/>
                </w:rPr>
                <w:t>da gasolina na França</w:t>
              </w:r>
            </w:hyperlink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, e outros— crescem com a reação geralmente errada das autoridades, toma corpo sem lideranças claras e com uma pauta disforme, e como um espasmo se dilui.      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É difícil dar uma solução política a esses movimentos. A política está aparelhada para “resolver” crises com pautas nítidas dialogando com lideranças representativas estabelecidas, absorvendo suas pautas e as encaminhando da melhor forma possível.</w:t>
            </w:r>
          </w:p>
          <w:p w:rsidR="007329A2" w:rsidRPr="00097B35" w:rsidRDefault="007329A2" w:rsidP="00AF4677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Não há sindicatos, partidos ou movimentos políticos por trás desse novo modelo de manifestação. Não há lideranças identificáveis. E é comum a pauta inicial se desdobrar em outras e em um sentimento difuso contra o governo de turno, seja ele de esquerda ou direita.</w:t>
            </w:r>
          </w:p>
        </w:tc>
      </w:tr>
      <w:tr w:rsidR="007329A2" w:rsidRPr="00097B35" w:rsidTr="00CB0A70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lastRenderedPageBreak/>
              <w:t>Etapa 3</w:t>
            </w:r>
          </w:p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Argumento 2</w:t>
            </w:r>
          </w:p>
        </w:tc>
        <w:tc>
          <w:tcPr>
            <w:tcW w:w="8593" w:type="dxa"/>
          </w:tcPr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Em 2013, os governos municipais</w:t>
            </w:r>
            <w:r w:rsidRPr="00097B35">
              <w:rPr>
                <w:rFonts w:ascii="Verdana" w:eastAsia="Times New Roman" w:hAnsi="Verdana" w:cs="Times New Roman"/>
                <w:color w:val="FF0000"/>
                <w:sz w:val="24"/>
                <w:szCs w:val="24"/>
              </w:rPr>
              <w:t xml:space="preserve"> </w:t>
            </w: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voltaram atrás no aumento das passagens de ônibus e metrô, mas as manifestações não arrefeceram. A presidente Dilma lançou um pacote anticorrupção, —uma das pautas que tomaram lugar do aumento das passagens— e a população não saiu das ruas.  </w:t>
            </w:r>
          </w:p>
          <w:p w:rsidR="007329A2" w:rsidRPr="00097B35" w:rsidRDefault="007329A2" w:rsidP="001D1EFC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A esquerda brasileira que à época acusava os movimentos de querer desestabilizar um governo de esquerda, hoje aplaude os manifestantes chilenos. Já a direita, que sorria para a desestabilização do governo Dilma, hoje teme que os ventos chilenos, soprem em direção ao Brasil e define quem lá ocupa as ruas como militantes esquerdistas. Não entendemos nada. </w:t>
            </w:r>
          </w:p>
        </w:tc>
      </w:tr>
      <w:tr w:rsidR="007329A2" w:rsidRPr="00097B35" w:rsidTr="00CB0A70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Etapa 4 </w:t>
            </w:r>
          </w:p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Argumento 3</w:t>
            </w:r>
          </w:p>
        </w:tc>
        <w:tc>
          <w:tcPr>
            <w:tcW w:w="8593" w:type="dxa"/>
          </w:tcPr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O </w:t>
            </w:r>
            <w:hyperlink r:id="rId8">
              <w:r w:rsidRPr="00097B35">
                <w:rPr>
                  <w:rFonts w:ascii="Verdana" w:eastAsia="Times New Roman" w:hAnsi="Verdana" w:cs="Times New Roman"/>
                  <w:sz w:val="24"/>
                  <w:szCs w:val="24"/>
                </w:rPr>
                <w:t>caso chileno merece atenção</w:t>
              </w:r>
            </w:hyperlink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. Um dia após seu presidente declarar que o Chile era um “oásis” na América Latina, eclodiram as manifestações, seguidas de uma reação dura do governo. Mesmo após Sebastian </w:t>
            </w:r>
            <w:proofErr w:type="spellStart"/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Piñera</w:t>
            </w:r>
            <w:proofErr w:type="spellEnd"/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 recuar, pedir desculpas públicas e </w:t>
            </w:r>
            <w:hyperlink r:id="rId9">
              <w:r w:rsidRPr="00097B35">
                <w:rPr>
                  <w:rFonts w:ascii="Verdana" w:eastAsia="Times New Roman" w:hAnsi="Verdana" w:cs="Times New Roman"/>
                  <w:sz w:val="24"/>
                  <w:szCs w:val="24"/>
                </w:rPr>
                <w:t>colocar os cargos dos ministros à disposição</w:t>
              </w:r>
            </w:hyperlink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, os manifestantes continuaram nas ruas. Observando os dados tradicionalmente utilizados para medir o desenvolvimento de um país, o presidente chileno não pareceria errado O Chile é uma democracia estável tem a maior renda per capita da América Latina, seu índice de pobreza caiu de 38,6% em 1990 para 7,8%, alcança bons resultados nos testes internacionais de proficiência da educação básica e tem uma alta taxa de jovens com nível universitário. Um “país de classe média”.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Assim, o Chile não seria candidato a manifestações de indignação, ao menos se usarmos a mesma lente de sempre. 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Olhando em perspectiva, também no Brasil a vida é melhor hoje do que há 20 anos, mesmo para quem vive em condição de pobreza. Mas há um ponto que corrói essa análise: o Chile ainda é um país muito desigual, como o Brasil e como vêm se tornando outros países, inclusive no mundo desenvolvido.</w:t>
            </w:r>
          </w:p>
        </w:tc>
      </w:tr>
      <w:tr w:rsidR="007329A2" w:rsidRPr="00097B35" w:rsidTr="00CB0A70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Etapa 5</w:t>
            </w:r>
          </w:p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Tese</w:t>
            </w:r>
          </w:p>
        </w:tc>
        <w:tc>
          <w:tcPr>
            <w:tcW w:w="8593" w:type="dxa"/>
          </w:tcPr>
          <w:p w:rsidR="007329A2" w:rsidRPr="00097B35" w:rsidRDefault="007329A2" w:rsidP="00AF4677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É a </w:t>
            </w:r>
            <w:hyperlink r:id="rId10">
              <w:r w:rsidRPr="00097B35">
                <w:rPr>
                  <w:rFonts w:ascii="Verdana" w:eastAsia="Times New Roman" w:hAnsi="Verdana" w:cs="Times New Roman"/>
                  <w:sz w:val="24"/>
                  <w:szCs w:val="24"/>
                </w:rPr>
                <w:t>ampliação da desigualdade</w:t>
              </w:r>
            </w:hyperlink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, aliada à frustração das expectativas de uma grande parte da população de que será possível alterar seu destino e o de seus filhos e netos, o principal fator que ameaça a coesão social e, por que não dizer, os regimes democráticos tais quais os conhecemos. </w:t>
            </w:r>
          </w:p>
        </w:tc>
      </w:tr>
      <w:tr w:rsidR="007329A2" w:rsidRPr="00097B35" w:rsidTr="00CB0A70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Etapa 6 </w:t>
            </w:r>
          </w:p>
          <w:p w:rsidR="007329A2" w:rsidRPr="00097B35" w:rsidRDefault="007329A2" w:rsidP="00CB0A70">
            <w:pPr>
              <w:ind w:left="0" w:firstLine="113"/>
              <w:jc w:val="center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Reiteração da Tese</w:t>
            </w:r>
          </w:p>
        </w:tc>
        <w:tc>
          <w:tcPr>
            <w:tcW w:w="8593" w:type="dxa"/>
          </w:tcPr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Com a economia mundial desacelerando e o Estado brasileiro em petição de miséria, é um esforço e tanto reverter essa tendência. Não se trata apenas de um imperativo moral, mas da garantia de que poderemos viver em paz conosco e nossos semelhantes.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Os governos precisam agir de forma a mostrar que, sim, dão atenção a esse enorme contingente de pessoas que estão ficando para trás</w:t>
            </w:r>
            <w:r w:rsidRPr="00097B35">
              <w:rPr>
                <w:rFonts w:ascii="Verdana" w:eastAsia="Times New Roman" w:hAnsi="Verdana" w:cs="Times New Roman"/>
                <w:sz w:val="24"/>
                <w:szCs w:val="24"/>
                <w:u w:val="single"/>
              </w:rPr>
              <w:t xml:space="preserve"> </w:t>
            </w: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 xml:space="preserve">a cada dia. </w:t>
            </w:r>
          </w:p>
          <w:p w:rsidR="007329A2" w:rsidRPr="00097B35" w:rsidRDefault="007329A2" w:rsidP="004C7DEB">
            <w:pPr>
              <w:ind w:left="0" w:right="0" w:firstLine="720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097B35">
              <w:rPr>
                <w:rFonts w:ascii="Verdana" w:eastAsia="Times New Roman" w:hAnsi="Verdana" w:cs="Times New Roman"/>
                <w:sz w:val="24"/>
                <w:szCs w:val="24"/>
              </w:rPr>
              <w:t>Não me surpreenderia se nos próximos protestos aparecessem manifestantes com a máscara do Coringa. É preciso recuperar sua confiança.</w:t>
            </w:r>
          </w:p>
        </w:tc>
      </w:tr>
    </w:tbl>
    <w:p w:rsidR="007329A2" w:rsidRPr="00097B35" w:rsidRDefault="007329A2" w:rsidP="007329A2">
      <w:pPr>
        <w:spacing w:line="360" w:lineRule="auto"/>
        <w:ind w:firstLine="113"/>
        <w:rPr>
          <w:rFonts w:ascii="Verdana" w:eastAsia="Times New Roman" w:hAnsi="Verdana" w:cs="Times New Roman"/>
          <w:sz w:val="24"/>
          <w:szCs w:val="24"/>
        </w:rPr>
      </w:pPr>
    </w:p>
    <w:p w:rsidR="007329A2" w:rsidRPr="00097B35" w:rsidRDefault="007329A2" w:rsidP="007329A2">
      <w:pPr>
        <w:ind w:left="0"/>
        <w:rPr>
          <w:rFonts w:ascii="Verdana" w:eastAsia="Times New Roman" w:hAnsi="Verdana" w:cs="Times New Roman"/>
          <w:sz w:val="24"/>
          <w:szCs w:val="24"/>
          <w:u w:val="single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lastRenderedPageBreak/>
        <w:t xml:space="preserve">Disponível em: </w:t>
      </w:r>
      <w:hyperlink r:id="rId11">
        <w:r w:rsidRPr="00097B35">
          <w:rPr>
            <w:rFonts w:ascii="Verdana" w:eastAsia="Times New Roman" w:hAnsi="Verdana" w:cs="Times New Roman"/>
            <w:sz w:val="24"/>
            <w:szCs w:val="24"/>
            <w:u w:val="single"/>
          </w:rPr>
          <w:t>https://www1.folha.uol.com.br/colunas/alexandre-schneider/2019/10/fabrica-de-coringas.shtml</w:t>
        </w:r>
      </w:hyperlink>
    </w:p>
    <w:p w:rsidR="007329A2" w:rsidRPr="00097B35" w:rsidRDefault="007329A2" w:rsidP="007329A2">
      <w:pPr>
        <w:ind w:firstLine="113"/>
        <w:rPr>
          <w:rFonts w:ascii="Verdana" w:eastAsia="Times New Roman" w:hAnsi="Verdana" w:cs="Times New Roman"/>
          <w:sz w:val="24"/>
          <w:szCs w:val="24"/>
          <w:u w:val="single"/>
        </w:rPr>
      </w:pPr>
    </w:p>
    <w:p w:rsidR="007329A2" w:rsidRPr="00097B35" w:rsidRDefault="007329A2" w:rsidP="007329A2">
      <w:pPr>
        <w:ind w:left="0" w:right="0"/>
        <w:rPr>
          <w:rFonts w:ascii="Verdana" w:eastAsia="Times New Roman" w:hAnsi="Verdana" w:cs="Times New Roman"/>
          <w:b/>
          <w:sz w:val="24"/>
          <w:szCs w:val="24"/>
        </w:rPr>
      </w:pPr>
      <w:r w:rsidRPr="00097B35">
        <w:rPr>
          <w:rFonts w:ascii="Verdana" w:eastAsia="Times New Roman" w:hAnsi="Verdana" w:cs="Times New Roman"/>
          <w:b/>
          <w:sz w:val="24"/>
          <w:szCs w:val="24"/>
        </w:rPr>
        <w:t>ANEXO 2</w:t>
      </w:r>
    </w:p>
    <w:p w:rsidR="007329A2" w:rsidRPr="00097B35" w:rsidRDefault="007329A2" w:rsidP="007329A2">
      <w:pPr>
        <w:ind w:left="0" w:right="0"/>
        <w:rPr>
          <w:rFonts w:ascii="Verdana" w:eastAsia="Times New Roman" w:hAnsi="Verdana" w:cs="Times New Roman"/>
          <w:b/>
          <w:sz w:val="24"/>
          <w:szCs w:val="24"/>
        </w:rPr>
      </w:pPr>
    </w:p>
    <w:p w:rsidR="007329A2" w:rsidRPr="00097B35" w:rsidRDefault="007329A2" w:rsidP="007329A2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b/>
          <w:sz w:val="24"/>
          <w:szCs w:val="24"/>
        </w:rPr>
        <w:t xml:space="preserve">CÔMPUTO DAS OCORRÊNCIAS DE AVALIATIVIDADE NO TEXTO “FÁBRICA DE CORINGAS” </w:t>
      </w:r>
    </w:p>
    <w:p w:rsidR="007329A2" w:rsidRPr="004C7DEB" w:rsidRDefault="007329A2" w:rsidP="007329A2">
      <w:pPr>
        <w:ind w:left="0" w:right="0"/>
        <w:rPr>
          <w:rFonts w:ascii="Verdana" w:eastAsia="Times New Roman" w:hAnsi="Verdana" w:cs="Times New Roman"/>
          <w:sz w:val="18"/>
          <w:szCs w:val="18"/>
        </w:rPr>
      </w:pPr>
    </w:p>
    <w:p w:rsidR="007329A2" w:rsidRPr="004C7DEB" w:rsidRDefault="007329A2" w:rsidP="007329A2">
      <w:pPr>
        <w:ind w:left="0" w:right="0"/>
        <w:rPr>
          <w:rFonts w:ascii="Verdana" w:eastAsia="Times New Roman" w:hAnsi="Verdana" w:cs="Times New Roman"/>
          <w:sz w:val="18"/>
          <w:szCs w:val="18"/>
        </w:rPr>
      </w:pPr>
    </w:p>
    <w:tbl>
      <w:tblPr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420"/>
        <w:gridCol w:w="567"/>
        <w:gridCol w:w="810"/>
        <w:gridCol w:w="514"/>
        <w:gridCol w:w="514"/>
        <w:gridCol w:w="12"/>
        <w:gridCol w:w="514"/>
        <w:gridCol w:w="526"/>
        <w:gridCol w:w="514"/>
        <w:gridCol w:w="526"/>
        <w:gridCol w:w="514"/>
        <w:gridCol w:w="526"/>
        <w:gridCol w:w="514"/>
        <w:gridCol w:w="526"/>
        <w:gridCol w:w="514"/>
        <w:gridCol w:w="526"/>
        <w:gridCol w:w="468"/>
        <w:gridCol w:w="567"/>
      </w:tblGrid>
      <w:tr w:rsidR="007329A2" w:rsidRPr="004C7DEB" w:rsidTr="003D70D2">
        <w:tc>
          <w:tcPr>
            <w:tcW w:w="426" w:type="dxa"/>
            <w:vMerge w:val="restart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Su</w:t>
            </w:r>
            <w:proofErr w:type="spellEnd"/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vMerge w:val="restart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Cat</w:t>
            </w:r>
            <w:proofErr w:type="spellEnd"/>
          </w:p>
        </w:tc>
        <w:tc>
          <w:tcPr>
            <w:tcW w:w="1040" w:type="dxa"/>
            <w:gridSpan w:val="3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ET1</w:t>
            </w:r>
          </w:p>
        </w:tc>
        <w:tc>
          <w:tcPr>
            <w:tcW w:w="10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ET2</w:t>
            </w:r>
          </w:p>
        </w:tc>
        <w:tc>
          <w:tcPr>
            <w:tcW w:w="10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ET3</w:t>
            </w:r>
          </w:p>
        </w:tc>
        <w:tc>
          <w:tcPr>
            <w:tcW w:w="10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ET4</w:t>
            </w:r>
          </w:p>
        </w:tc>
        <w:tc>
          <w:tcPr>
            <w:tcW w:w="10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ET5</w:t>
            </w:r>
          </w:p>
        </w:tc>
        <w:tc>
          <w:tcPr>
            <w:tcW w:w="1040" w:type="dxa"/>
            <w:gridSpan w:val="2"/>
            <w:tcBorders>
              <w:left w:val="single" w:sz="4" w:space="0" w:color="0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ET6</w:t>
            </w: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TOT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C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go</w:t>
            </w:r>
            <w:proofErr w:type="gramEnd"/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po</w:t>
            </w:r>
            <w:proofErr w:type="spellEnd"/>
            <w:proofErr w:type="gramEnd"/>
          </w:p>
        </w:tc>
        <w:tc>
          <w:tcPr>
            <w:tcW w:w="526" w:type="dxa"/>
            <w:gridSpan w:val="2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po</w:t>
            </w:r>
            <w:proofErr w:type="spellEnd"/>
            <w:proofErr w:type="gramEnd"/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po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go</w:t>
            </w:r>
            <w:proofErr w:type="gramEnd"/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po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go</w:t>
            </w:r>
            <w:proofErr w:type="gramEnd"/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po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go</w:t>
            </w:r>
            <w:proofErr w:type="gramEnd"/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po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go</w:t>
            </w:r>
            <w:proofErr w:type="gramEnd"/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po</w:t>
            </w:r>
            <w:proofErr w:type="spellEnd"/>
            <w:proofErr w:type="gramEnd"/>
          </w:p>
        </w:tc>
        <w:tc>
          <w:tcPr>
            <w:tcW w:w="468" w:type="dxa"/>
            <w:tcBorders>
              <w:left w:val="single" w:sz="4" w:space="0" w:color="C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C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+</w:t>
            </w:r>
          </w:p>
        </w:tc>
      </w:tr>
      <w:tr w:rsidR="007329A2" w:rsidRPr="004C7DEB" w:rsidTr="0021510C">
        <w:tc>
          <w:tcPr>
            <w:tcW w:w="426" w:type="dxa"/>
            <w:vMerge w:val="restart"/>
            <w:tcBorders>
              <w:top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Atitude</w:t>
            </w:r>
          </w:p>
        </w:tc>
        <w:tc>
          <w:tcPr>
            <w:tcW w:w="420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afeto</w:t>
            </w:r>
            <w:proofErr w:type="gramEnd"/>
          </w:p>
        </w:tc>
        <w:tc>
          <w:tcPr>
            <w:tcW w:w="1377" w:type="dxa"/>
            <w:gridSpan w:val="2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felicidade</w:t>
            </w:r>
            <w:proofErr w:type="gramEnd"/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C00000"/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4" w:space="0" w:color="C00000"/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C00000"/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segurança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3/0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satisfação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21510C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21510C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>
              <w:rPr>
                <w:rFonts w:ascii="Verdana" w:eastAsia="Times New Roman" w:hAnsi="Verdana" w:cs="Times New Roman"/>
                <w:sz w:val="18"/>
                <w:szCs w:val="18"/>
              </w:rPr>
              <w:t>j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ulgamento</w:t>
            </w:r>
            <w:proofErr w:type="gramEnd"/>
          </w:p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normalidade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capacidade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6/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0</w:t>
            </w: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tenacidade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veracidade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propriedade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4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2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</w:tr>
      <w:tr w:rsidR="007329A2" w:rsidRPr="004C7DEB" w:rsidTr="0021510C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21510C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>
              <w:rPr>
                <w:rFonts w:ascii="Verdana" w:eastAsia="Times New Roman" w:hAnsi="Verdana" w:cs="Times New Roman"/>
                <w:sz w:val="18"/>
                <w:szCs w:val="18"/>
              </w:rPr>
              <w:t>apreciaç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ão</w:t>
            </w:r>
            <w:proofErr w:type="gramEnd"/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impacto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qualidade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4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proporção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0/1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1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45039F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Complexi-dade</w:t>
            </w:r>
            <w:bookmarkStart w:id="0" w:name="_GoBack"/>
            <w:bookmarkEnd w:id="0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5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/0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top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valoração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  <w:shd w:val="clear" w:color="auto" w:fill="FFFFFF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1</w:t>
            </w:r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/4</w:t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  <w:bottom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4" w:space="0" w:color="C00000"/>
              <w:bottom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6</w:t>
            </w:r>
          </w:p>
        </w:tc>
      </w:tr>
      <w:tr w:rsidR="007329A2" w:rsidRPr="004C7DEB" w:rsidTr="003D70D2">
        <w:tc>
          <w:tcPr>
            <w:tcW w:w="426" w:type="dxa"/>
            <w:tcBorders>
              <w:right w:val="single" w:sz="4" w:space="0" w:color="C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C00000"/>
              <w:right w:val="single" w:sz="4" w:space="0" w:color="C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4" w:space="0" w:color="C00000"/>
              <w:left w:val="single" w:sz="4" w:space="0" w:color="C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C00000"/>
              <w:left w:val="single" w:sz="4" w:space="0" w:color="C00000"/>
            </w:tcBorders>
            <w:shd w:val="clear" w:color="auto" w:fill="A6A6A6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21510C">
        <w:tc>
          <w:tcPr>
            <w:tcW w:w="426" w:type="dxa"/>
            <w:vMerge w:val="restart"/>
            <w:tcBorders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21510C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sz w:val="18"/>
                <w:szCs w:val="18"/>
              </w:rPr>
              <w:t>Gradaç</w:t>
            </w:r>
            <w:r w:rsidR="007329A2"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aõ</w:t>
            </w:r>
            <w:proofErr w:type="spellEnd"/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força</w:t>
            </w:r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int</w:t>
            </w:r>
            <w:proofErr w:type="spellEnd"/>
            <w:proofErr w:type="gramEnd"/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qualid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2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/4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4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proces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</w:tr>
      <w:tr w:rsidR="007329A2" w:rsidRPr="004C7DEB" w:rsidTr="0021510C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quantificação</w:t>
            </w:r>
            <w:proofErr w:type="gramEnd"/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númer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1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/0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massa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1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/1</w:t>
            </w: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4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proxtem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prox</w:t>
            </w:r>
            <w:proofErr w:type="spellEnd"/>
            <w:proofErr w:type="gramEnd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esp</w:t>
            </w:r>
            <w:proofErr w:type="spell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disttemp</w:t>
            </w:r>
            <w:proofErr w:type="spellEnd"/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dist</w:t>
            </w:r>
            <w:proofErr w:type="spellEnd"/>
            <w:proofErr w:type="gramEnd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espa</w:t>
            </w:r>
            <w:proofErr w:type="spell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21510C">
        <w:trPr>
          <w:trHeight w:val="118"/>
        </w:trPr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foco</w:t>
            </w:r>
            <w:proofErr w:type="gramEnd"/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aumento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4C7DEB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0/</w:t>
            </w:r>
            <w:r w:rsidRPr="004C7DEB">
              <w:rPr>
                <w:rFonts w:ascii="Verdana" w:eastAsia="Times New Roman" w:hAnsi="Verdana" w:cs="Times New Roman"/>
                <w:sz w:val="16"/>
                <w:szCs w:val="16"/>
              </w:rPr>
              <w:t>1</w:t>
            </w: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</w:tr>
      <w:tr w:rsidR="007329A2" w:rsidRPr="004C7DEB" w:rsidTr="003D70D2">
        <w:trPr>
          <w:trHeight w:val="441"/>
        </w:trPr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suavização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68" w:type="dxa"/>
            <w:tcBorders>
              <w:lef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rPr>
          <w:trHeight w:val="541"/>
        </w:trPr>
        <w:tc>
          <w:tcPr>
            <w:tcW w:w="426" w:type="dxa"/>
            <w:tcBorders>
              <w:top w:val="single" w:sz="12" w:space="0" w:color="0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lastRenderedPageBreak/>
              <w:t>Tgo</w:t>
            </w:r>
            <w:proofErr w:type="spellEnd"/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12" w:space="0" w:color="0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12" w:space="0" w:color="000000"/>
              <w:left w:val="single" w:sz="4" w:space="0" w:color="C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C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</w:tr>
      <w:tr w:rsidR="007329A2" w:rsidRPr="004C7DEB" w:rsidTr="003D70D2">
        <w:trPr>
          <w:trHeight w:val="697"/>
        </w:trPr>
        <w:tc>
          <w:tcPr>
            <w:tcW w:w="426" w:type="dxa"/>
            <w:tcBorders>
              <w:top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Tgo</w:t>
            </w:r>
            <w:proofErr w:type="spellEnd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4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9</w:t>
            </w:r>
          </w:p>
        </w:tc>
      </w:tr>
      <w:tr w:rsidR="007329A2" w:rsidRPr="004C7DEB" w:rsidTr="003D70D2">
        <w:trPr>
          <w:trHeight w:val="551"/>
        </w:trPr>
        <w:tc>
          <w:tcPr>
            <w:tcW w:w="426" w:type="dxa"/>
            <w:tcBorders>
              <w:top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Tpo</w:t>
            </w:r>
            <w:proofErr w:type="spellEnd"/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26" w:type="dxa"/>
            <w:gridSpan w:val="2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5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4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</w:tr>
      <w:tr w:rsidR="007329A2" w:rsidRPr="004C7DEB" w:rsidTr="003D70D2">
        <w:trPr>
          <w:trHeight w:val="701"/>
        </w:trPr>
        <w:tc>
          <w:tcPr>
            <w:tcW w:w="426" w:type="dxa"/>
            <w:tcBorders>
              <w:top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Tpo</w:t>
            </w:r>
            <w:proofErr w:type="spellEnd"/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+</w:t>
            </w:r>
          </w:p>
        </w:tc>
        <w:tc>
          <w:tcPr>
            <w:tcW w:w="420" w:type="dxa"/>
            <w:tcBorders>
              <w:top w:val="single" w:sz="4" w:space="0" w:color="C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C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4" w:space="0" w:color="C00000"/>
              <w:left w:val="single" w:sz="4" w:space="0" w:color="C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C00000"/>
              <w:left w:val="single" w:sz="4" w:space="0" w:color="C00000"/>
              <w:bottom w:val="single" w:sz="12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17</w:t>
            </w:r>
          </w:p>
        </w:tc>
      </w:tr>
      <w:tr w:rsidR="007329A2" w:rsidRPr="004C7DEB" w:rsidTr="003D70D2">
        <w:tc>
          <w:tcPr>
            <w:tcW w:w="426" w:type="dxa"/>
            <w:tcBorders>
              <w:top w:val="single" w:sz="12" w:space="0" w:color="0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T-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12" w:space="0" w:color="0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2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2</w:t>
            </w: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5</w:t>
            </w: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4</w:t>
            </w: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4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514" w:type="dxa"/>
            <w:tcBorders>
              <w:top w:val="single" w:sz="12" w:space="0" w:color="000000"/>
              <w:left w:val="single" w:sz="4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3</w:t>
            </w:r>
          </w:p>
        </w:tc>
        <w:tc>
          <w:tcPr>
            <w:tcW w:w="526" w:type="dxa"/>
            <w:tcBorders>
              <w:top w:val="single" w:sz="12" w:space="0" w:color="000000"/>
              <w:bottom w:val="single" w:sz="4" w:space="0" w:color="C00000"/>
              <w:right w:val="single" w:sz="12" w:space="0" w:color="0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12" w:space="0" w:color="000000"/>
              <w:left w:val="single" w:sz="12" w:space="0" w:color="0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  <w:t>37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C00000"/>
              <w:bottom w:val="single" w:sz="4" w:space="0" w:color="C00000"/>
            </w:tcBorders>
            <w:shd w:val="clear" w:color="auto" w:fill="F4B083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tcBorders>
              <w:top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T+</w:t>
            </w:r>
          </w:p>
        </w:tc>
        <w:tc>
          <w:tcPr>
            <w:tcW w:w="4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4" w:space="0" w:color="C00000"/>
              <w:right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4" w:space="0" w:color="C00000"/>
              <w:left w:val="single" w:sz="12" w:space="0" w:color="0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26</w:t>
            </w:r>
          </w:p>
        </w:tc>
      </w:tr>
      <w:tr w:rsidR="007329A2" w:rsidRPr="004C7DEB" w:rsidTr="003D70D2">
        <w:tc>
          <w:tcPr>
            <w:tcW w:w="426" w:type="dxa"/>
            <w:tcBorders>
              <w:top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4" w:space="0" w:color="C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C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6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10</w:t>
            </w:r>
          </w:p>
        </w:tc>
        <w:tc>
          <w:tcPr>
            <w:tcW w:w="526" w:type="dxa"/>
            <w:gridSpan w:val="2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5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7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3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2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16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5</w:t>
            </w:r>
          </w:p>
        </w:tc>
        <w:tc>
          <w:tcPr>
            <w:tcW w:w="514" w:type="dxa"/>
            <w:tcBorders>
              <w:top w:val="single" w:sz="4" w:space="0" w:color="C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7</w:t>
            </w:r>
          </w:p>
        </w:tc>
        <w:tc>
          <w:tcPr>
            <w:tcW w:w="526" w:type="dxa"/>
            <w:tcBorders>
              <w:top w:val="single" w:sz="4" w:space="0" w:color="C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2</w:t>
            </w:r>
          </w:p>
        </w:tc>
        <w:tc>
          <w:tcPr>
            <w:tcW w:w="1035" w:type="dxa"/>
            <w:gridSpan w:val="2"/>
            <w:tcBorders>
              <w:top w:val="single" w:sz="4" w:space="0" w:color="C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63</w:t>
            </w:r>
          </w:p>
        </w:tc>
      </w:tr>
      <w:tr w:rsidR="007329A2" w:rsidRPr="004C7DEB" w:rsidTr="003D70D2">
        <w:tc>
          <w:tcPr>
            <w:tcW w:w="426" w:type="dxa"/>
            <w:tcBorders>
              <w:top w:val="single" w:sz="12" w:space="0" w:color="0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TF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12" w:space="0" w:color="0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</w:p>
        </w:tc>
        <w:tc>
          <w:tcPr>
            <w:tcW w:w="1028" w:type="dxa"/>
            <w:gridSpan w:val="2"/>
            <w:tcBorders>
              <w:top w:val="single" w:sz="12" w:space="0" w:color="000000"/>
              <w:left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16</w:t>
            </w:r>
          </w:p>
        </w:tc>
        <w:tc>
          <w:tcPr>
            <w:tcW w:w="1052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12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3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18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5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9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color w:val="2E75B5"/>
                <w:sz w:val="18"/>
                <w:szCs w:val="18"/>
              </w:rPr>
              <w:t>63</w:t>
            </w:r>
          </w:p>
        </w:tc>
      </w:tr>
      <w:tr w:rsidR="007329A2" w:rsidRPr="004C7DEB" w:rsidTr="0021510C">
        <w:tc>
          <w:tcPr>
            <w:tcW w:w="426" w:type="dxa"/>
            <w:vMerge w:val="restart"/>
            <w:tcBorders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Engajamento</w:t>
            </w:r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ref</w:t>
            </w:r>
            <w:proofErr w:type="spellEnd"/>
            <w:proofErr w:type="gramEnd"/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negação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2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2</w:t>
            </w:r>
            <w:r w:rsidRPr="004C7DEB">
              <w:rPr>
                <w:rFonts w:ascii="Verdana" w:eastAsia="Times New Roman" w:hAnsi="Verdana" w:cs="Times New Roman"/>
                <w:sz w:val="18"/>
                <w:szCs w:val="18"/>
                <w:vertAlign w:val="superscript"/>
              </w:rPr>
              <w:footnoteReference w:id="1"/>
            </w: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6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21510C" w:rsidP="0021510C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C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ontraex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pec</w:t>
            </w:r>
            <w:proofErr w:type="spell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4</w:t>
            </w:r>
          </w:p>
        </w:tc>
      </w:tr>
      <w:tr w:rsidR="007329A2" w:rsidRPr="004C7DEB" w:rsidTr="0021510C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21510C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>
              <w:rPr>
                <w:rFonts w:ascii="Verdana" w:eastAsia="Times New Roman" w:hAnsi="Verdana" w:cs="Times New Roman"/>
                <w:sz w:val="18"/>
                <w:szCs w:val="18"/>
              </w:rPr>
              <w:t>ratificação</w:t>
            </w:r>
            <w:proofErr w:type="gramEnd"/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afirmação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concessão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pronunciam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endosso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</w:tr>
      <w:tr w:rsidR="007329A2" w:rsidRPr="004C7DEB" w:rsidTr="0021510C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textDirection w:val="btLr"/>
            <w:vAlign w:val="center"/>
          </w:tcPr>
          <w:p w:rsidR="007329A2" w:rsidRPr="004C7DEB" w:rsidRDefault="007329A2" w:rsidP="0021510C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exp</w:t>
            </w:r>
            <w:proofErr w:type="spellEnd"/>
            <w:proofErr w:type="gramEnd"/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21510C" w:rsidRDefault="0021510C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E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ntreteni</w:t>
            </w:r>
            <w:proofErr w:type="spellEnd"/>
            <w:r>
              <w:rPr>
                <w:rFonts w:ascii="Verdana" w:eastAsia="Times New Roman" w:hAnsi="Verdana" w:cs="Times New Roman"/>
                <w:sz w:val="18"/>
                <w:szCs w:val="18"/>
              </w:rPr>
              <w:t>-</w:t>
            </w:r>
          </w:p>
          <w:p w:rsidR="007329A2" w:rsidRPr="004C7DEB" w:rsidRDefault="007329A2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gram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men</w:t>
            </w:r>
            <w:r w:rsidR="0021510C">
              <w:rPr>
                <w:rFonts w:ascii="Verdana" w:eastAsia="Times New Roman" w:hAnsi="Verdana" w:cs="Times New Roman"/>
                <w:sz w:val="18"/>
                <w:szCs w:val="18"/>
              </w:rPr>
              <w:t>to</w:t>
            </w:r>
            <w:proofErr w:type="gram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2</w:t>
            </w: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4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21510C" w:rsidP="0021510C">
            <w:pPr>
              <w:spacing w:line="360" w:lineRule="auto"/>
              <w:ind w:left="0" w:right="0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R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econheci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-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m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ento</w:t>
            </w:r>
            <w:proofErr w:type="spellEnd"/>
          </w:p>
        </w:tc>
        <w:tc>
          <w:tcPr>
            <w:tcW w:w="514" w:type="dxa"/>
            <w:tcBorders>
              <w:left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526" w:type="dxa"/>
            <w:tcBorders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</w:tr>
      <w:tr w:rsidR="007329A2" w:rsidRPr="004C7DEB" w:rsidTr="003D70D2">
        <w:tc>
          <w:tcPr>
            <w:tcW w:w="426" w:type="dxa"/>
            <w:vMerge/>
            <w:tcBorders>
              <w:right w:val="single" w:sz="4" w:space="0" w:color="C00000"/>
            </w:tcBorders>
            <w:vAlign w:val="center"/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left w:val="single" w:sz="4" w:space="0" w:color="C00000"/>
              <w:bottom w:val="single" w:sz="24" w:space="0" w:color="000000"/>
              <w:right w:val="single" w:sz="4" w:space="0" w:color="C00000"/>
            </w:tcBorders>
          </w:tcPr>
          <w:p w:rsidR="007329A2" w:rsidRPr="004C7DEB" w:rsidRDefault="0021510C" w:rsidP="0021510C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D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istancia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-</w:t>
            </w:r>
            <w:r w:rsidR="007329A2" w:rsidRPr="004C7DEB">
              <w:rPr>
                <w:rFonts w:ascii="Verdana" w:eastAsia="Times New Roman" w:hAnsi="Verdana" w:cs="Times New Roman"/>
                <w:sz w:val="18"/>
                <w:szCs w:val="18"/>
              </w:rPr>
              <w:t>ment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514" w:type="dxa"/>
            <w:tcBorders>
              <w:left w:val="single" w:sz="4" w:space="0" w:color="C00000"/>
              <w:bottom w:val="single" w:sz="2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2"/>
            <w:tcBorders>
              <w:left w:val="single" w:sz="4" w:space="0" w:color="000000"/>
              <w:bottom w:val="single" w:sz="2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2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2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2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sz w:val="18"/>
                <w:szCs w:val="18"/>
              </w:rPr>
              <w:t>2</w:t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2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24" w:space="0" w:color="000000"/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2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24" w:space="0" w:color="0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14" w:type="dxa"/>
            <w:tcBorders>
              <w:left w:val="single" w:sz="4" w:space="0" w:color="000000"/>
              <w:bottom w:val="single" w:sz="2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26" w:type="dxa"/>
            <w:tcBorders>
              <w:bottom w:val="single" w:sz="24" w:space="0" w:color="0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035" w:type="dxa"/>
            <w:gridSpan w:val="2"/>
            <w:tcBorders>
              <w:left w:val="single" w:sz="4" w:space="0" w:color="C00000"/>
              <w:bottom w:val="single" w:sz="24" w:space="0" w:color="0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</w:tr>
      <w:tr w:rsidR="007329A2" w:rsidRPr="004C7DEB" w:rsidTr="003D70D2">
        <w:tc>
          <w:tcPr>
            <w:tcW w:w="426" w:type="dxa"/>
            <w:tcBorders>
              <w:top w:val="single" w:sz="24" w:space="0" w:color="0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24" w:space="0" w:color="000000"/>
              <w:left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24" w:space="0" w:color="0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028" w:type="dxa"/>
            <w:gridSpan w:val="2"/>
            <w:tcBorders>
              <w:top w:val="single" w:sz="24" w:space="0" w:color="000000"/>
              <w:left w:val="single" w:sz="4" w:space="0" w:color="C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052" w:type="dxa"/>
            <w:gridSpan w:val="3"/>
            <w:tcBorders>
              <w:top w:val="single" w:sz="24" w:space="0" w:color="0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040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40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  <w:shd w:val="clear" w:color="auto" w:fill="B4C6E7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040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C00000"/>
              <w:right w:val="single" w:sz="4" w:space="0" w:color="0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040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C00000"/>
              <w:right w:val="single" w:sz="4" w:space="0" w:color="C00000"/>
            </w:tcBorders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35" w:type="dxa"/>
            <w:gridSpan w:val="2"/>
            <w:tcBorders>
              <w:top w:val="single" w:sz="24" w:space="0" w:color="000000"/>
              <w:left w:val="single" w:sz="4" w:space="0" w:color="C00000"/>
              <w:bottom w:val="single" w:sz="4" w:space="0" w:color="C00000"/>
            </w:tcBorders>
            <w:shd w:val="clear" w:color="auto" w:fill="auto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17</w:t>
            </w:r>
          </w:p>
        </w:tc>
      </w:tr>
      <w:tr w:rsidR="007329A2" w:rsidRPr="004C7DEB" w:rsidTr="003D70D2">
        <w:tc>
          <w:tcPr>
            <w:tcW w:w="426" w:type="dxa"/>
            <w:tcBorders>
              <w:top w:val="single" w:sz="12" w:space="0" w:color="000000"/>
              <w:bottom w:val="single" w:sz="12" w:space="0" w:color="000000"/>
              <w:right w:val="single" w:sz="4" w:space="0" w:color="C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TF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377" w:type="dxa"/>
            <w:gridSpan w:val="2"/>
            <w:tcBorders>
              <w:top w:val="single" w:sz="12" w:space="0" w:color="000000"/>
              <w:left w:val="single" w:sz="4" w:space="0" w:color="C00000"/>
              <w:bottom w:val="single" w:sz="12" w:space="0" w:color="000000"/>
              <w:right w:val="single" w:sz="4" w:space="0" w:color="C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</w:p>
        </w:tc>
        <w:tc>
          <w:tcPr>
            <w:tcW w:w="1028" w:type="dxa"/>
            <w:gridSpan w:val="2"/>
            <w:tcBorders>
              <w:top w:val="single" w:sz="12" w:space="0" w:color="000000"/>
              <w:left w:val="single" w:sz="4" w:space="0" w:color="C00000"/>
              <w:bottom w:val="single" w:sz="12" w:space="0" w:color="000000"/>
              <w:right w:val="single" w:sz="4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1052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0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0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2CC"/>
          </w:tcPr>
          <w:p w:rsidR="007329A2" w:rsidRPr="004C7DEB" w:rsidRDefault="007329A2" w:rsidP="004C7DEB">
            <w:pPr>
              <w:spacing w:line="360" w:lineRule="auto"/>
              <w:ind w:left="0" w:right="0"/>
              <w:jc w:val="left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C7DEB">
              <w:rPr>
                <w:rFonts w:ascii="Verdana" w:eastAsia="Times New Roman" w:hAnsi="Verdana" w:cs="Times New Roman"/>
                <w:b/>
                <w:sz w:val="18"/>
                <w:szCs w:val="18"/>
              </w:rPr>
              <w:t>80</w:t>
            </w:r>
          </w:p>
        </w:tc>
      </w:tr>
    </w:tbl>
    <w:p w:rsidR="00E4475E" w:rsidRDefault="00E4475E" w:rsidP="007329A2">
      <w:pPr>
        <w:ind w:left="0" w:right="0"/>
        <w:rPr>
          <w:rFonts w:ascii="Verdana" w:eastAsia="Times New Roman" w:hAnsi="Verdana" w:cs="Times New Roman"/>
          <w:sz w:val="24"/>
          <w:szCs w:val="24"/>
        </w:rPr>
      </w:pPr>
    </w:p>
    <w:p w:rsidR="00E4475E" w:rsidRDefault="00E4475E" w:rsidP="007329A2">
      <w:pPr>
        <w:ind w:left="0" w:right="0"/>
        <w:rPr>
          <w:rFonts w:ascii="Verdana" w:eastAsia="Times New Roman" w:hAnsi="Verdana" w:cs="Times New Roman"/>
          <w:sz w:val="24"/>
          <w:szCs w:val="24"/>
        </w:rPr>
      </w:pPr>
    </w:p>
    <w:p w:rsidR="00E4475E" w:rsidRDefault="00E4475E" w:rsidP="007329A2">
      <w:pPr>
        <w:ind w:left="0" w:right="0"/>
        <w:rPr>
          <w:rFonts w:ascii="Verdana" w:eastAsia="Times New Roman" w:hAnsi="Verdana" w:cs="Times New Roman"/>
          <w:sz w:val="24"/>
          <w:szCs w:val="24"/>
        </w:rPr>
      </w:pPr>
    </w:p>
    <w:p w:rsidR="00E4475E" w:rsidRDefault="00E4475E" w:rsidP="007329A2">
      <w:pPr>
        <w:ind w:left="0" w:right="0"/>
        <w:rPr>
          <w:rFonts w:ascii="Verdana" w:eastAsia="Times New Roman" w:hAnsi="Verdana" w:cs="Times New Roman"/>
          <w:sz w:val="24"/>
          <w:szCs w:val="24"/>
        </w:rPr>
      </w:pPr>
    </w:p>
    <w:p w:rsidR="007329A2" w:rsidRPr="00E4475E" w:rsidRDefault="00E4475E" w:rsidP="00E4475E">
      <w:pPr>
        <w:ind w:left="0" w:right="0"/>
        <w:rPr>
          <w:rFonts w:ascii="Verdana" w:eastAsia="Times New Roman" w:hAnsi="Verdana" w:cs="Times New Roman"/>
          <w:b/>
          <w:sz w:val="24"/>
          <w:szCs w:val="24"/>
        </w:rPr>
      </w:pPr>
      <w:r w:rsidRPr="00E4475E">
        <w:rPr>
          <w:rFonts w:ascii="Verdana" w:eastAsia="Times New Roman" w:hAnsi="Verdana" w:cs="Times New Roman"/>
          <w:b/>
          <w:sz w:val="24"/>
          <w:szCs w:val="24"/>
        </w:rPr>
        <w:lastRenderedPageBreak/>
        <w:t>Legenda</w:t>
      </w:r>
    </w:p>
    <w:p w:rsidR="00E4475E" w:rsidRPr="00097B35" w:rsidRDefault="00E4475E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t>Algarismos em preto – avaliação positiva</w:t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color w:val="FF0000"/>
          <w:sz w:val="24"/>
          <w:szCs w:val="24"/>
        </w:rPr>
        <w:t>Algarismos em vermelho – avaliação negativa</w:t>
      </w:r>
      <w:r w:rsidRPr="00097B35">
        <w:rPr>
          <w:rFonts w:ascii="Verdana" w:eastAsia="Times New Roman" w:hAnsi="Verdana" w:cs="Times New Roman"/>
          <w:color w:val="FF0000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color w:val="FF0000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color w:val="FF0000"/>
          <w:sz w:val="24"/>
          <w:szCs w:val="24"/>
        </w:rPr>
        <w:tab/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proofErr w:type="gramStart"/>
      <w:r w:rsidRPr="00097B35">
        <w:rPr>
          <w:rFonts w:ascii="Verdana" w:eastAsia="Times New Roman" w:hAnsi="Verdana" w:cs="Times New Roman"/>
          <w:sz w:val="24"/>
          <w:szCs w:val="24"/>
        </w:rPr>
        <w:t>go</w:t>
      </w:r>
      <w:proofErr w:type="gramEnd"/>
      <w:r w:rsidRPr="00097B35">
        <w:rPr>
          <w:rFonts w:ascii="Verdana" w:eastAsia="Times New Roman" w:hAnsi="Verdana" w:cs="Times New Roman"/>
          <w:sz w:val="24"/>
          <w:szCs w:val="24"/>
        </w:rPr>
        <w:t xml:space="preserve"> - governo</w:t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proofErr w:type="spellStart"/>
      <w:proofErr w:type="gramStart"/>
      <w:r w:rsidRPr="00097B35">
        <w:rPr>
          <w:rFonts w:ascii="Verdana" w:eastAsia="Times New Roman" w:hAnsi="Verdana" w:cs="Times New Roman"/>
          <w:sz w:val="24"/>
          <w:szCs w:val="24"/>
        </w:rPr>
        <w:t>po</w:t>
      </w:r>
      <w:proofErr w:type="spellEnd"/>
      <w:proofErr w:type="gramEnd"/>
      <w:r w:rsidRPr="00097B35">
        <w:rPr>
          <w:rFonts w:ascii="Verdana" w:eastAsia="Times New Roman" w:hAnsi="Verdana" w:cs="Times New Roman"/>
          <w:sz w:val="24"/>
          <w:szCs w:val="24"/>
        </w:rPr>
        <w:t xml:space="preserve"> – povo</w:t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</w:p>
    <w:p w:rsidR="00E4475E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t xml:space="preserve">T- Total negativo                                                           </w:t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097B35">
        <w:rPr>
          <w:rFonts w:ascii="Verdana" w:eastAsia="Times New Roman" w:hAnsi="Verdana" w:cs="Times New Roman"/>
          <w:sz w:val="24"/>
          <w:szCs w:val="24"/>
        </w:rPr>
        <w:t>Tgo</w:t>
      </w:r>
      <w:proofErr w:type="spellEnd"/>
      <w:r w:rsidRPr="00097B35">
        <w:rPr>
          <w:rFonts w:ascii="Verdana" w:eastAsia="Times New Roman" w:hAnsi="Verdana" w:cs="Times New Roman"/>
          <w:sz w:val="24"/>
          <w:szCs w:val="24"/>
        </w:rPr>
        <w:t xml:space="preserve"> (+/-) – Total governo </w:t>
      </w:r>
    </w:p>
    <w:p w:rsidR="00E4475E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t>T+ Total positivo</w:t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097B35">
        <w:rPr>
          <w:rFonts w:ascii="Verdana" w:eastAsia="Times New Roman" w:hAnsi="Verdana" w:cs="Times New Roman"/>
          <w:sz w:val="24"/>
          <w:szCs w:val="24"/>
        </w:rPr>
        <w:t>Tpo</w:t>
      </w:r>
      <w:proofErr w:type="spellEnd"/>
      <w:r w:rsidRPr="00097B35">
        <w:rPr>
          <w:rFonts w:ascii="Verdana" w:eastAsia="Times New Roman" w:hAnsi="Verdana" w:cs="Times New Roman"/>
          <w:sz w:val="24"/>
          <w:szCs w:val="24"/>
        </w:rPr>
        <w:t xml:space="preserve"> (+/-) – Total povo</w:t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sz w:val="24"/>
          <w:szCs w:val="24"/>
        </w:rPr>
      </w:pPr>
      <w:proofErr w:type="gramStart"/>
      <w:r w:rsidRPr="00097B35">
        <w:rPr>
          <w:rFonts w:ascii="Verdana" w:eastAsia="Times New Roman" w:hAnsi="Verdana" w:cs="Times New Roman"/>
          <w:sz w:val="24"/>
          <w:szCs w:val="24"/>
        </w:rPr>
        <w:t>T  Total</w:t>
      </w:r>
      <w:proofErr w:type="gramEnd"/>
      <w:r w:rsidRPr="00097B35">
        <w:rPr>
          <w:rFonts w:ascii="Verdana" w:eastAsia="Times New Roman" w:hAnsi="Verdana" w:cs="Times New Roman"/>
          <w:sz w:val="24"/>
          <w:szCs w:val="24"/>
        </w:rPr>
        <w:t xml:space="preserve"> (negativo + positivo)</w:t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</w:r>
      <w:r w:rsidRPr="00097B35">
        <w:rPr>
          <w:rFonts w:ascii="Verdana" w:eastAsia="Times New Roman" w:hAnsi="Verdana" w:cs="Times New Roman"/>
          <w:sz w:val="24"/>
          <w:szCs w:val="24"/>
        </w:rPr>
        <w:tab/>
        <w:t xml:space="preserve"> </w:t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color w:val="FF0000"/>
          <w:sz w:val="24"/>
          <w:szCs w:val="24"/>
        </w:rPr>
      </w:pPr>
      <w:r w:rsidRPr="00097B35">
        <w:rPr>
          <w:rFonts w:ascii="Verdana" w:eastAsia="Times New Roman" w:hAnsi="Verdana" w:cs="Times New Roman"/>
          <w:sz w:val="24"/>
          <w:szCs w:val="24"/>
        </w:rPr>
        <w:t>TF – TOTAL FINAL na etapa</w:t>
      </w:r>
    </w:p>
    <w:p w:rsidR="007329A2" w:rsidRPr="00097B35" w:rsidRDefault="007329A2" w:rsidP="00E4475E">
      <w:pPr>
        <w:ind w:left="0" w:right="0"/>
        <w:rPr>
          <w:rFonts w:ascii="Verdana" w:eastAsia="Times New Roman" w:hAnsi="Verdana" w:cs="Times New Roman"/>
          <w:color w:val="FF0000"/>
          <w:sz w:val="24"/>
          <w:szCs w:val="24"/>
        </w:rPr>
      </w:pPr>
    </w:p>
    <w:p w:rsidR="007329A2" w:rsidRPr="00097B35" w:rsidRDefault="007329A2" w:rsidP="006F6116">
      <w:pPr>
        <w:ind w:left="0" w:right="0"/>
        <w:jc w:val="center"/>
        <w:rPr>
          <w:rFonts w:ascii="Verdana" w:eastAsia="Times New Roman" w:hAnsi="Verdana" w:cs="Times New Roman"/>
          <w:sz w:val="24"/>
          <w:szCs w:val="24"/>
        </w:rPr>
      </w:pPr>
    </w:p>
    <w:sectPr w:rsidR="007329A2" w:rsidRPr="00097B35" w:rsidSect="004C7DE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075" w:rsidRDefault="006E4075" w:rsidP="007329A2">
      <w:r>
        <w:separator/>
      </w:r>
    </w:p>
  </w:endnote>
  <w:endnote w:type="continuationSeparator" w:id="0">
    <w:p w:rsidR="006E4075" w:rsidRDefault="006E4075" w:rsidP="00732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0E7" w:rsidRDefault="006E407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0E7" w:rsidRDefault="006E407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075" w:rsidRDefault="006E4075" w:rsidP="007329A2">
      <w:r>
        <w:separator/>
      </w:r>
    </w:p>
  </w:footnote>
  <w:footnote w:type="continuationSeparator" w:id="0">
    <w:p w:rsidR="006E4075" w:rsidRDefault="006E4075" w:rsidP="007329A2">
      <w:r>
        <w:continuationSeparator/>
      </w:r>
    </w:p>
  </w:footnote>
  <w:footnote w:id="1">
    <w:p w:rsidR="007329A2" w:rsidRPr="003902E2" w:rsidRDefault="007329A2" w:rsidP="003902E2">
      <w:pPr>
        <w:pBdr>
          <w:top w:val="nil"/>
          <w:left w:val="nil"/>
          <w:bottom w:val="nil"/>
          <w:right w:val="nil"/>
          <w:between w:val="nil"/>
        </w:pBdr>
        <w:ind w:left="0" w:right="0"/>
        <w:rPr>
          <w:rFonts w:ascii="Verdana" w:hAnsi="Verdana"/>
          <w:color w:val="000000"/>
          <w:sz w:val="18"/>
          <w:szCs w:val="18"/>
        </w:rPr>
      </w:pPr>
      <w:r w:rsidRPr="003902E2">
        <w:rPr>
          <w:rFonts w:ascii="Verdana" w:hAnsi="Verdana"/>
          <w:sz w:val="18"/>
          <w:szCs w:val="18"/>
          <w:vertAlign w:val="superscript"/>
        </w:rPr>
        <w:footnoteRef/>
      </w:r>
      <w:r w:rsidRPr="003902E2">
        <w:rPr>
          <w:rFonts w:ascii="Verdana" w:hAnsi="Verdana"/>
          <w:color w:val="000000"/>
          <w:sz w:val="18"/>
          <w:szCs w:val="18"/>
        </w:rPr>
        <w:t xml:space="preserve"> </w:t>
      </w:r>
      <w:r w:rsidRPr="003902E2">
        <w:rPr>
          <w:rFonts w:ascii="Verdana" w:eastAsia="Times New Roman" w:hAnsi="Verdana" w:cs="Times New Roman"/>
          <w:color w:val="000000"/>
          <w:sz w:val="18"/>
          <w:szCs w:val="18"/>
        </w:rPr>
        <w:t>O engajamento não é nem positivo e nem negativo.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0E7" w:rsidRDefault="006E407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0E7" w:rsidRDefault="006E407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A2"/>
    <w:rsid w:val="00097B35"/>
    <w:rsid w:val="001B7D17"/>
    <w:rsid w:val="001D1EFC"/>
    <w:rsid w:val="0021510C"/>
    <w:rsid w:val="002912C2"/>
    <w:rsid w:val="002D1349"/>
    <w:rsid w:val="00306687"/>
    <w:rsid w:val="00307E7F"/>
    <w:rsid w:val="003902E2"/>
    <w:rsid w:val="0045039F"/>
    <w:rsid w:val="004C7DEB"/>
    <w:rsid w:val="006C10A9"/>
    <w:rsid w:val="006E4075"/>
    <w:rsid w:val="006F6116"/>
    <w:rsid w:val="007329A2"/>
    <w:rsid w:val="00851B1A"/>
    <w:rsid w:val="00866B73"/>
    <w:rsid w:val="008A45E4"/>
    <w:rsid w:val="00AF4677"/>
    <w:rsid w:val="00CB0A70"/>
    <w:rsid w:val="00E4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87E26-E3C6-45B8-99E8-BE087C6D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29A2"/>
    <w:pPr>
      <w:spacing w:after="0" w:line="240" w:lineRule="auto"/>
      <w:ind w:left="113" w:right="113"/>
      <w:jc w:val="both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folha.uol.com.br/mundo/2019/10/numero-de-mortos-devido-a-protestos-no-chile-chega-a-15.shtml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1.folha.uol.com.br/colunas/demetriomagnoli/2019/10/da-revolucao-a-revolta.shtml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1.folha.uol.com.br/colunas/contardocalligaris/2019/10/coringa.shtml" TargetMode="External"/><Relationship Id="rId11" Type="http://schemas.openxmlformats.org/officeDocument/2006/relationships/hyperlink" Target="https://www1.folha.uol.com.br/colunas/alexandre-schneider/2019/10/fabrica-de-coringas.s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www1.folha.uol.com.br/colunas/joel-pinheiro-da-fonseca/2019/10/nao-e-so-o-chile.s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1.folha.uol.com.br/mundo/2019/10/em-resposta-a-manifestantes-pinera-troca-nucleo-de-seu-governo.s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1171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2020-07-23T19:05:00Z</dcterms:created>
  <dcterms:modified xsi:type="dcterms:W3CDTF">2020-07-23T19:05:00Z</dcterms:modified>
</cp:coreProperties>
</file>