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EC" w:rsidRDefault="00FC60EC" w:rsidP="00FC60EC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CB5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PÊ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NDICE </w:t>
      </w:r>
    </w:p>
    <w:p w:rsidR="00FC60EC" w:rsidRPr="000B7CB5" w:rsidRDefault="00FC60EC" w:rsidP="00FC60EC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0EC" w:rsidRPr="00F523BE" w:rsidRDefault="00FC60EC" w:rsidP="00FC6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t-BR"/>
        </w:rPr>
      </w:pPr>
      <w:r w:rsidRPr="00F523BE">
        <w:rPr>
          <w:rFonts w:ascii="Times New Roman" w:eastAsia="Times New Roman" w:hAnsi="Times New Roman" w:cs="Times New Roman"/>
          <w:b/>
          <w:sz w:val="24"/>
          <w:lang w:eastAsia="pt-BR"/>
        </w:rPr>
        <w:t>Tabela 01.</w:t>
      </w:r>
      <w:r w:rsidRPr="00F523BE">
        <w:rPr>
          <w:rFonts w:ascii="Times New Roman" w:eastAsia="Times New Roman" w:hAnsi="Times New Roman" w:cs="Times New Roman"/>
          <w:sz w:val="24"/>
          <w:lang w:eastAsia="pt-BR"/>
        </w:rPr>
        <w:t xml:space="preserve"> Código de registro e interpretação de </w:t>
      </w:r>
      <w:proofErr w:type="spellStart"/>
      <w:r w:rsidRPr="00F523BE">
        <w:rPr>
          <w:rFonts w:ascii="Times New Roman" w:eastAsia="Times New Roman" w:hAnsi="Times New Roman" w:cs="Times New Roman"/>
          <w:sz w:val="24"/>
          <w:szCs w:val="24"/>
          <w:lang w:eastAsia="pt-BR"/>
        </w:rPr>
        <w:t>monofilamentos</w:t>
      </w:r>
      <w:proofErr w:type="spellEnd"/>
      <w:r w:rsidRPr="00F52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nylon tipo </w:t>
      </w:r>
      <w:proofErr w:type="spellStart"/>
      <w:r w:rsidRPr="00F523BE">
        <w:rPr>
          <w:rFonts w:ascii="Times New Roman" w:eastAsia="Times New Roman" w:hAnsi="Times New Roman" w:cs="Times New Roman"/>
          <w:sz w:val="24"/>
          <w:szCs w:val="24"/>
          <w:lang w:eastAsia="pt-BR"/>
        </w:rPr>
        <w:t>Semmes-Weinstein</w:t>
      </w:r>
      <w:proofErr w:type="spellEnd"/>
      <w:r w:rsidRPr="00F523B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984"/>
        <w:gridCol w:w="3291"/>
      </w:tblGrid>
      <w:tr w:rsidR="00FC60EC" w:rsidRPr="00F523BE" w:rsidTr="00B31B2F">
        <w:trPr>
          <w:jc w:val="center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60EC" w:rsidRPr="00F523BE" w:rsidRDefault="00FC60EC" w:rsidP="00B31B2F">
            <w:pPr>
              <w:jc w:val="center"/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Código para registro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60EC" w:rsidRPr="00F523BE" w:rsidRDefault="00FC60EC" w:rsidP="00B31B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23BE">
              <w:rPr>
                <w:rFonts w:ascii="Times New Roman" w:hAnsi="Times New Roman" w:cs="Times New Roman"/>
              </w:rPr>
              <w:t>Monofilamento</w:t>
            </w:r>
            <w:proofErr w:type="spellEnd"/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60EC" w:rsidRPr="00F523BE" w:rsidRDefault="00FC60EC" w:rsidP="00B31B2F">
            <w:pPr>
              <w:jc w:val="center"/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Interpretação</w:t>
            </w:r>
          </w:p>
        </w:tc>
      </w:tr>
      <w:tr w:rsidR="00FC60EC" w:rsidRPr="00F523BE" w:rsidTr="00B31B2F">
        <w:trPr>
          <w:jc w:val="center"/>
        </w:trPr>
        <w:tc>
          <w:tcPr>
            <w:tcW w:w="3369" w:type="dxa"/>
            <w:tcBorders>
              <w:top w:val="single" w:sz="4" w:space="0" w:color="auto"/>
            </w:tcBorders>
          </w:tcPr>
          <w:p w:rsidR="00FC60EC" w:rsidRPr="00F523BE" w:rsidRDefault="00FC60EC" w:rsidP="00B31B2F">
            <w:pPr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Círculo preenchido de verde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C60EC" w:rsidRPr="00F523BE" w:rsidRDefault="00FC60EC" w:rsidP="00B31B2F">
            <w:pPr>
              <w:jc w:val="center"/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0,05 gramas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FC60EC" w:rsidRPr="00F523BE" w:rsidRDefault="00FC60EC" w:rsidP="00B31B2F">
            <w:pPr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Sensibilidade normal no pé</w:t>
            </w:r>
          </w:p>
        </w:tc>
      </w:tr>
      <w:tr w:rsidR="00FC60EC" w:rsidRPr="00F523BE" w:rsidTr="00B31B2F">
        <w:trPr>
          <w:jc w:val="center"/>
        </w:trPr>
        <w:tc>
          <w:tcPr>
            <w:tcW w:w="3369" w:type="dxa"/>
          </w:tcPr>
          <w:p w:rsidR="00FC60EC" w:rsidRPr="00F523BE" w:rsidRDefault="00FC60EC" w:rsidP="00B31B2F">
            <w:pPr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Círculo preenchido de azul</w:t>
            </w:r>
          </w:p>
        </w:tc>
        <w:tc>
          <w:tcPr>
            <w:tcW w:w="1984" w:type="dxa"/>
          </w:tcPr>
          <w:p w:rsidR="00FC60EC" w:rsidRPr="00F523BE" w:rsidRDefault="00FC60EC" w:rsidP="00B31B2F">
            <w:pPr>
              <w:jc w:val="center"/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0,2 gramas</w:t>
            </w:r>
          </w:p>
        </w:tc>
        <w:tc>
          <w:tcPr>
            <w:tcW w:w="3291" w:type="dxa"/>
          </w:tcPr>
          <w:p w:rsidR="00FC60EC" w:rsidRPr="00F523BE" w:rsidRDefault="00FC60EC" w:rsidP="00B31B2F">
            <w:pPr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Sensibilidade normal no pé</w:t>
            </w:r>
          </w:p>
        </w:tc>
      </w:tr>
      <w:tr w:rsidR="00FC60EC" w:rsidRPr="00F523BE" w:rsidTr="00B31B2F">
        <w:trPr>
          <w:jc w:val="center"/>
        </w:trPr>
        <w:tc>
          <w:tcPr>
            <w:tcW w:w="3369" w:type="dxa"/>
          </w:tcPr>
          <w:p w:rsidR="00FC60EC" w:rsidRPr="00F523BE" w:rsidRDefault="00FC60EC" w:rsidP="00B31B2F">
            <w:pPr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Círculo preenchido de violeta</w:t>
            </w:r>
          </w:p>
        </w:tc>
        <w:tc>
          <w:tcPr>
            <w:tcW w:w="1984" w:type="dxa"/>
          </w:tcPr>
          <w:p w:rsidR="00FC60EC" w:rsidRPr="00F523BE" w:rsidRDefault="00FC60EC" w:rsidP="00B31B2F">
            <w:pPr>
              <w:jc w:val="center"/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2,0 gramas</w:t>
            </w:r>
          </w:p>
        </w:tc>
        <w:tc>
          <w:tcPr>
            <w:tcW w:w="3291" w:type="dxa"/>
          </w:tcPr>
          <w:p w:rsidR="00FC60EC" w:rsidRPr="00F523BE" w:rsidRDefault="00FC60EC" w:rsidP="00B31B2F">
            <w:pPr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Sensibilidade protetora diminuída</w:t>
            </w:r>
          </w:p>
        </w:tc>
      </w:tr>
      <w:tr w:rsidR="00FC60EC" w:rsidRPr="00F523BE" w:rsidTr="00B31B2F">
        <w:trPr>
          <w:jc w:val="center"/>
        </w:trPr>
        <w:tc>
          <w:tcPr>
            <w:tcW w:w="3369" w:type="dxa"/>
          </w:tcPr>
          <w:p w:rsidR="00FC60EC" w:rsidRPr="00F523BE" w:rsidRDefault="00FC60EC" w:rsidP="00B31B2F">
            <w:pPr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Círculo preenchido de vermelho</w:t>
            </w:r>
          </w:p>
        </w:tc>
        <w:tc>
          <w:tcPr>
            <w:tcW w:w="1984" w:type="dxa"/>
          </w:tcPr>
          <w:p w:rsidR="00FC60EC" w:rsidRPr="00F523BE" w:rsidRDefault="00FC60EC" w:rsidP="00B31B2F">
            <w:pPr>
              <w:jc w:val="center"/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4,0 gramas</w:t>
            </w:r>
          </w:p>
        </w:tc>
        <w:tc>
          <w:tcPr>
            <w:tcW w:w="3291" w:type="dxa"/>
          </w:tcPr>
          <w:p w:rsidR="00FC60EC" w:rsidRPr="00F523BE" w:rsidRDefault="00FC60EC" w:rsidP="00B31B2F">
            <w:pPr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Perda da sensibilidade protetora</w:t>
            </w:r>
          </w:p>
        </w:tc>
      </w:tr>
      <w:tr w:rsidR="00FC60EC" w:rsidRPr="00F523BE" w:rsidTr="00B31B2F">
        <w:trPr>
          <w:jc w:val="center"/>
        </w:trPr>
        <w:tc>
          <w:tcPr>
            <w:tcW w:w="3369" w:type="dxa"/>
          </w:tcPr>
          <w:p w:rsidR="00FC60EC" w:rsidRPr="00F523BE" w:rsidRDefault="00FC60EC" w:rsidP="00B31B2F">
            <w:pPr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Círculo preenchido de laranja</w:t>
            </w:r>
          </w:p>
        </w:tc>
        <w:tc>
          <w:tcPr>
            <w:tcW w:w="1984" w:type="dxa"/>
          </w:tcPr>
          <w:p w:rsidR="00FC60EC" w:rsidRPr="00F523BE" w:rsidRDefault="00FC60EC" w:rsidP="00B31B2F">
            <w:pPr>
              <w:jc w:val="center"/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10,0 gramas</w:t>
            </w:r>
          </w:p>
        </w:tc>
        <w:tc>
          <w:tcPr>
            <w:tcW w:w="3291" w:type="dxa"/>
          </w:tcPr>
          <w:p w:rsidR="00FC60EC" w:rsidRPr="00F523BE" w:rsidRDefault="00FC60EC" w:rsidP="00B31B2F">
            <w:pPr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Perda da sensibilidade protetora</w:t>
            </w:r>
          </w:p>
        </w:tc>
      </w:tr>
      <w:tr w:rsidR="00FC60EC" w:rsidRPr="00F523BE" w:rsidTr="00B31B2F">
        <w:trPr>
          <w:jc w:val="center"/>
        </w:trPr>
        <w:tc>
          <w:tcPr>
            <w:tcW w:w="3369" w:type="dxa"/>
          </w:tcPr>
          <w:p w:rsidR="00FC60EC" w:rsidRPr="00F523BE" w:rsidRDefault="00FC60EC" w:rsidP="00B31B2F">
            <w:pPr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Círculo preenchido de vermelho magenta</w:t>
            </w:r>
          </w:p>
        </w:tc>
        <w:tc>
          <w:tcPr>
            <w:tcW w:w="1984" w:type="dxa"/>
          </w:tcPr>
          <w:p w:rsidR="00FC60EC" w:rsidRPr="00F523BE" w:rsidRDefault="00FC60EC" w:rsidP="00B31B2F">
            <w:pPr>
              <w:jc w:val="center"/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300,0 gramas</w:t>
            </w:r>
          </w:p>
        </w:tc>
        <w:tc>
          <w:tcPr>
            <w:tcW w:w="3291" w:type="dxa"/>
          </w:tcPr>
          <w:p w:rsidR="00FC60EC" w:rsidRPr="00F523BE" w:rsidRDefault="00FC60EC" w:rsidP="00B31B2F">
            <w:pPr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Sensação de pressão profunda presente</w:t>
            </w:r>
          </w:p>
        </w:tc>
      </w:tr>
      <w:tr w:rsidR="00FC60EC" w:rsidRPr="00F523BE" w:rsidTr="00B31B2F">
        <w:trPr>
          <w:jc w:val="center"/>
        </w:trPr>
        <w:tc>
          <w:tcPr>
            <w:tcW w:w="3369" w:type="dxa"/>
          </w:tcPr>
          <w:p w:rsidR="00FC60EC" w:rsidRPr="00F523BE" w:rsidRDefault="00FC60EC" w:rsidP="00B31B2F">
            <w:pPr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 xml:space="preserve">Ausência de percepção ao </w:t>
            </w:r>
            <w:proofErr w:type="spellStart"/>
            <w:r w:rsidRPr="00F523BE">
              <w:rPr>
                <w:rFonts w:ascii="Times New Roman" w:hAnsi="Times New Roman" w:cs="Times New Roman"/>
              </w:rPr>
              <w:t>monofilamento</w:t>
            </w:r>
            <w:proofErr w:type="spellEnd"/>
            <w:r w:rsidRPr="00F523BE">
              <w:rPr>
                <w:rFonts w:ascii="Times New Roman" w:hAnsi="Times New Roman" w:cs="Times New Roman"/>
              </w:rPr>
              <w:t xml:space="preserve"> 300,0 gramas</w:t>
            </w:r>
          </w:p>
        </w:tc>
        <w:tc>
          <w:tcPr>
            <w:tcW w:w="1984" w:type="dxa"/>
          </w:tcPr>
          <w:p w:rsidR="00FC60EC" w:rsidRPr="00F523BE" w:rsidRDefault="00FC60EC" w:rsidP="00B31B2F">
            <w:pPr>
              <w:jc w:val="center"/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Não sente 300,0 gramas</w:t>
            </w:r>
          </w:p>
        </w:tc>
        <w:tc>
          <w:tcPr>
            <w:tcW w:w="3291" w:type="dxa"/>
          </w:tcPr>
          <w:p w:rsidR="00FC60EC" w:rsidRPr="00F523BE" w:rsidRDefault="00FC60EC" w:rsidP="00B31B2F">
            <w:pPr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Perda da sensação de pressão profunda</w:t>
            </w:r>
          </w:p>
        </w:tc>
      </w:tr>
    </w:tbl>
    <w:p w:rsidR="00FC60EC" w:rsidRPr="00F523BE" w:rsidRDefault="00FC60EC" w:rsidP="00FC6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523B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Fonte: Adaptado de Souza </w:t>
      </w:r>
      <w:proofErr w:type="gramStart"/>
      <w:r w:rsidRPr="00F523BE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et</w:t>
      </w:r>
      <w:proofErr w:type="gramEnd"/>
      <w:r w:rsidRPr="00F523BE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 al</w:t>
      </w:r>
      <w:r w:rsidRPr="00F523BE">
        <w:rPr>
          <w:rFonts w:ascii="Times New Roman" w:eastAsia="Times New Roman" w:hAnsi="Times New Roman" w:cs="Times New Roman"/>
          <w:sz w:val="20"/>
          <w:szCs w:val="20"/>
          <w:lang w:eastAsia="pt-BR"/>
        </w:rPr>
        <w:t>, 2005.</w:t>
      </w:r>
    </w:p>
    <w:p w:rsidR="00FC60EC" w:rsidRDefault="00FC60EC" w:rsidP="00FC60E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C60EC" w:rsidRDefault="00FC60EC" w:rsidP="00FC60E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C60EC" w:rsidRPr="00F523BE" w:rsidRDefault="00FC60EC" w:rsidP="00FC60E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t-BR"/>
        </w:rPr>
      </w:pPr>
      <w:r w:rsidRPr="00F523BE">
        <w:rPr>
          <w:rFonts w:ascii="Times New Roman" w:eastAsia="Times New Roman" w:hAnsi="Times New Roman" w:cs="Times New Roman"/>
          <w:b/>
          <w:sz w:val="24"/>
          <w:lang w:eastAsia="pt-BR"/>
        </w:rPr>
        <w:t>Tabela 02</w:t>
      </w:r>
      <w:r w:rsidRPr="00F523BE">
        <w:rPr>
          <w:rFonts w:ascii="Times New Roman" w:eastAsia="Times New Roman" w:hAnsi="Times New Roman" w:cs="Times New Roman"/>
          <w:sz w:val="24"/>
          <w:lang w:eastAsia="pt-BR"/>
        </w:rPr>
        <w:t xml:space="preserve">. Gradiente de alterações sensitivas aos </w:t>
      </w:r>
      <w:proofErr w:type="spellStart"/>
      <w:r w:rsidRPr="00F523BE">
        <w:rPr>
          <w:rFonts w:ascii="Times New Roman" w:eastAsia="Times New Roman" w:hAnsi="Times New Roman" w:cs="Times New Roman"/>
          <w:sz w:val="24"/>
          <w:lang w:eastAsia="pt-BR"/>
        </w:rPr>
        <w:t>monofilamentos</w:t>
      </w:r>
      <w:proofErr w:type="spellEnd"/>
      <w:r w:rsidRPr="00F523BE">
        <w:rPr>
          <w:rFonts w:ascii="Times New Roman" w:eastAsia="Times New Roman" w:hAnsi="Times New Roman" w:cs="Times New Roman"/>
          <w:sz w:val="24"/>
          <w:lang w:eastAsia="pt-BR"/>
        </w:rPr>
        <w:t xml:space="preserve"> de </w:t>
      </w:r>
      <w:proofErr w:type="spellStart"/>
      <w:r w:rsidRPr="00F523BE">
        <w:rPr>
          <w:rFonts w:ascii="Times New Roman" w:eastAsia="Times New Roman" w:hAnsi="Times New Roman" w:cs="Times New Roman"/>
          <w:sz w:val="24"/>
          <w:lang w:eastAsia="pt-BR"/>
        </w:rPr>
        <w:t>Semmes-Weinstein</w:t>
      </w:r>
      <w:proofErr w:type="spellEnd"/>
      <w:r w:rsidRPr="00F523BE">
        <w:rPr>
          <w:rFonts w:ascii="Times New Roman" w:eastAsia="Times New Roman" w:hAnsi="Times New Roman" w:cs="Times New Roman"/>
          <w:sz w:val="24"/>
          <w:lang w:eastAsia="pt-BR"/>
        </w:rPr>
        <w:t>.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299"/>
      </w:tblGrid>
      <w:tr w:rsidR="00FC60EC" w:rsidRPr="00F523BE" w:rsidTr="00B31B2F">
        <w:trPr>
          <w:jc w:val="center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60EC" w:rsidRPr="00F523BE" w:rsidRDefault="00FC60EC" w:rsidP="00B31B2F">
            <w:pPr>
              <w:jc w:val="center"/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Interpretação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60EC" w:rsidRPr="00F523BE" w:rsidRDefault="00FC60EC" w:rsidP="00B31B2F">
            <w:pPr>
              <w:jc w:val="center"/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Gradiente de alteração sensitiva</w:t>
            </w:r>
          </w:p>
        </w:tc>
      </w:tr>
      <w:tr w:rsidR="00FC60EC" w:rsidRPr="00F523BE" w:rsidTr="00B31B2F">
        <w:trPr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:rsidR="00FC60EC" w:rsidRPr="00F523BE" w:rsidRDefault="00FC60EC" w:rsidP="00B31B2F">
            <w:pPr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Sensibilidade normal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FC60EC" w:rsidRPr="00F523BE" w:rsidRDefault="00FC60EC" w:rsidP="00B31B2F">
            <w:pPr>
              <w:jc w:val="center"/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 xml:space="preserve">Estágio </w:t>
            </w:r>
            <w:proofErr w:type="gramStart"/>
            <w:r w:rsidRPr="00F523BE">
              <w:rPr>
                <w:rFonts w:ascii="Times New Roman" w:hAnsi="Times New Roman" w:cs="Times New Roman"/>
              </w:rPr>
              <w:t>1</w:t>
            </w:r>
            <w:proofErr w:type="gramEnd"/>
          </w:p>
        </w:tc>
      </w:tr>
      <w:tr w:rsidR="00FC60EC" w:rsidRPr="00F523BE" w:rsidTr="00B31B2F">
        <w:trPr>
          <w:jc w:val="center"/>
        </w:trPr>
        <w:tc>
          <w:tcPr>
            <w:tcW w:w="4644" w:type="dxa"/>
          </w:tcPr>
          <w:p w:rsidR="00FC60EC" w:rsidRPr="00F523BE" w:rsidRDefault="00FC60EC" w:rsidP="00B31B2F">
            <w:pPr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Sensibilidade protetora diminuída</w:t>
            </w:r>
          </w:p>
        </w:tc>
        <w:tc>
          <w:tcPr>
            <w:tcW w:w="4536" w:type="dxa"/>
          </w:tcPr>
          <w:p w:rsidR="00FC60EC" w:rsidRPr="00F523BE" w:rsidRDefault="00FC60EC" w:rsidP="00B31B2F">
            <w:pPr>
              <w:jc w:val="center"/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 xml:space="preserve">Estágio </w:t>
            </w:r>
            <w:proofErr w:type="gramStart"/>
            <w:r w:rsidRPr="00F523BE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FC60EC" w:rsidRPr="00F523BE" w:rsidTr="00B31B2F">
        <w:trPr>
          <w:jc w:val="center"/>
        </w:trPr>
        <w:tc>
          <w:tcPr>
            <w:tcW w:w="4644" w:type="dxa"/>
          </w:tcPr>
          <w:p w:rsidR="00FC60EC" w:rsidRPr="00F523BE" w:rsidRDefault="00FC60EC" w:rsidP="00B31B2F">
            <w:pPr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Perda da sensibilidade protetora</w:t>
            </w:r>
          </w:p>
        </w:tc>
        <w:tc>
          <w:tcPr>
            <w:tcW w:w="4536" w:type="dxa"/>
          </w:tcPr>
          <w:p w:rsidR="00FC60EC" w:rsidRPr="00F523BE" w:rsidRDefault="00FC60EC" w:rsidP="00B31B2F">
            <w:pPr>
              <w:jc w:val="center"/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 xml:space="preserve">Estágio </w:t>
            </w:r>
            <w:proofErr w:type="gramStart"/>
            <w:r w:rsidRPr="00F523BE">
              <w:rPr>
                <w:rFonts w:ascii="Times New Roman" w:hAnsi="Times New Roman" w:cs="Times New Roman"/>
              </w:rPr>
              <w:t>3</w:t>
            </w:r>
            <w:proofErr w:type="gramEnd"/>
          </w:p>
        </w:tc>
      </w:tr>
      <w:tr w:rsidR="00FC60EC" w:rsidRPr="00F523BE" w:rsidTr="00B31B2F">
        <w:trPr>
          <w:jc w:val="center"/>
        </w:trPr>
        <w:tc>
          <w:tcPr>
            <w:tcW w:w="4644" w:type="dxa"/>
          </w:tcPr>
          <w:p w:rsidR="00FC60EC" w:rsidRPr="00F523BE" w:rsidRDefault="00FC60EC" w:rsidP="00B31B2F">
            <w:pPr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Sensação de pressão profunda presente</w:t>
            </w:r>
          </w:p>
        </w:tc>
        <w:tc>
          <w:tcPr>
            <w:tcW w:w="4536" w:type="dxa"/>
          </w:tcPr>
          <w:p w:rsidR="00FC60EC" w:rsidRPr="00F523BE" w:rsidRDefault="00FC60EC" w:rsidP="00B31B2F">
            <w:pPr>
              <w:jc w:val="center"/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 xml:space="preserve">Estágio </w:t>
            </w:r>
            <w:proofErr w:type="gramStart"/>
            <w:r w:rsidRPr="00F523BE">
              <w:rPr>
                <w:rFonts w:ascii="Times New Roman" w:hAnsi="Times New Roman" w:cs="Times New Roman"/>
              </w:rPr>
              <w:t>4</w:t>
            </w:r>
            <w:proofErr w:type="gramEnd"/>
          </w:p>
        </w:tc>
      </w:tr>
      <w:tr w:rsidR="00FC60EC" w:rsidRPr="00F523BE" w:rsidTr="00B31B2F">
        <w:trPr>
          <w:jc w:val="center"/>
        </w:trPr>
        <w:tc>
          <w:tcPr>
            <w:tcW w:w="4644" w:type="dxa"/>
          </w:tcPr>
          <w:p w:rsidR="00FC60EC" w:rsidRPr="00F523BE" w:rsidRDefault="00FC60EC" w:rsidP="00B31B2F">
            <w:pPr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>Perda da sensação de pressão profunda</w:t>
            </w:r>
          </w:p>
        </w:tc>
        <w:tc>
          <w:tcPr>
            <w:tcW w:w="4536" w:type="dxa"/>
          </w:tcPr>
          <w:p w:rsidR="00FC60EC" w:rsidRPr="00F523BE" w:rsidRDefault="00FC60EC" w:rsidP="00B31B2F">
            <w:pPr>
              <w:jc w:val="center"/>
              <w:rPr>
                <w:rFonts w:ascii="Times New Roman" w:hAnsi="Times New Roman" w:cs="Times New Roman"/>
              </w:rPr>
            </w:pPr>
            <w:r w:rsidRPr="00F523BE">
              <w:rPr>
                <w:rFonts w:ascii="Times New Roman" w:hAnsi="Times New Roman" w:cs="Times New Roman"/>
              </w:rPr>
              <w:t xml:space="preserve">Estágio </w:t>
            </w:r>
            <w:proofErr w:type="gramStart"/>
            <w:r w:rsidRPr="00F523BE">
              <w:rPr>
                <w:rFonts w:ascii="Times New Roman" w:hAnsi="Times New Roman" w:cs="Times New Roman"/>
              </w:rPr>
              <w:t>5</w:t>
            </w:r>
            <w:proofErr w:type="gramEnd"/>
          </w:p>
        </w:tc>
      </w:tr>
    </w:tbl>
    <w:p w:rsidR="00FC60EC" w:rsidRPr="00F523BE" w:rsidRDefault="00FC60EC" w:rsidP="00FC6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523B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Fonte: Adaptado de Souza </w:t>
      </w:r>
      <w:proofErr w:type="gramStart"/>
      <w:r w:rsidRPr="00F523BE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et</w:t>
      </w:r>
      <w:proofErr w:type="gramEnd"/>
      <w:r w:rsidRPr="00F523BE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 al</w:t>
      </w:r>
      <w:r w:rsidRPr="00F523BE">
        <w:rPr>
          <w:rFonts w:ascii="Times New Roman" w:eastAsia="Times New Roman" w:hAnsi="Times New Roman" w:cs="Times New Roman"/>
          <w:sz w:val="20"/>
          <w:szCs w:val="20"/>
          <w:lang w:eastAsia="pt-BR"/>
        </w:rPr>
        <w:t>, 2005.</w:t>
      </w:r>
    </w:p>
    <w:p w:rsidR="00FC60EC" w:rsidRDefault="00FC60EC" w:rsidP="00FC60E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C60EC" w:rsidRDefault="00FC60EC" w:rsidP="00FC60E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C60EC" w:rsidRPr="00954DFE" w:rsidRDefault="00FC60EC" w:rsidP="00FC60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54DFE">
        <w:rPr>
          <w:rFonts w:ascii="Times New Roman" w:eastAsia="Times New Roman" w:hAnsi="Times New Roman" w:cs="Times New Roman"/>
          <w:b/>
          <w:color w:val="000000"/>
          <w:lang w:eastAsia="pt-BR"/>
        </w:rPr>
        <w:t>Tabela 0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>3</w:t>
      </w:r>
      <w:r w:rsidRPr="00954DFE">
        <w:rPr>
          <w:rFonts w:ascii="Times New Roman" w:eastAsia="Times New Roman" w:hAnsi="Times New Roman" w:cs="Times New Roman"/>
          <w:b/>
          <w:color w:val="000000"/>
          <w:lang w:eastAsia="pt-BR"/>
        </w:rPr>
        <w:t>.</w:t>
      </w:r>
      <w:r w:rsidRPr="00954DFE">
        <w:rPr>
          <w:rFonts w:ascii="Times New Roman" w:eastAsia="Times New Roman" w:hAnsi="Times New Roman" w:cs="Times New Roman"/>
          <w:color w:val="000000"/>
          <w:lang w:eastAsia="pt-BR"/>
        </w:rPr>
        <w:t xml:space="preserve"> Análise descritiva da amostra segundo as questões a respeito da presença de sintomas de desconforto ou dor nas pernas do ESN (n = 23). Teresina-PI, 2012.</w:t>
      </w:r>
    </w:p>
    <w:tbl>
      <w:tblPr>
        <w:tblStyle w:val="Tabelacomgrade1"/>
        <w:tblW w:w="7081" w:type="dxa"/>
        <w:jc w:val="center"/>
        <w:tblInd w:w="-170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1113"/>
        <w:gridCol w:w="1179"/>
      </w:tblGrid>
      <w:tr w:rsidR="00FC60EC" w:rsidRPr="00954DFE" w:rsidTr="00B31B2F">
        <w:trPr>
          <w:trHeight w:val="300"/>
          <w:jc w:val="center"/>
        </w:trPr>
        <w:tc>
          <w:tcPr>
            <w:tcW w:w="478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54DFE">
              <w:rPr>
                <w:rFonts w:ascii="Times New Roman" w:hAnsi="Times New Roman" w:cs="Times New Roman"/>
                <w:b/>
                <w:color w:val="000000"/>
              </w:rPr>
              <w:t>Características dos sintomas neuropáticos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4DFE">
              <w:rPr>
                <w:rFonts w:ascii="Times New Roman" w:hAnsi="Times New Roman" w:cs="Times New Roman"/>
                <w:b/>
                <w:color w:val="000000"/>
              </w:rPr>
              <w:t>N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4DFE">
              <w:rPr>
                <w:rFonts w:ascii="Times New Roman" w:hAnsi="Times New Roman" w:cs="Times New Roman"/>
                <w:b/>
                <w:color w:val="000000"/>
              </w:rPr>
              <w:t>%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Tipo de sensação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 xml:space="preserve">Queimação, dormência ou </w:t>
            </w:r>
            <w:proofErr w:type="gramStart"/>
            <w:r w:rsidRPr="00954DFE">
              <w:rPr>
                <w:rFonts w:ascii="Times New Roman" w:hAnsi="Times New Roman" w:cs="Times New Roman"/>
                <w:color w:val="000000"/>
              </w:rPr>
              <w:t>formigamento</w:t>
            </w:r>
            <w:proofErr w:type="gramEnd"/>
          </w:p>
        </w:tc>
        <w:tc>
          <w:tcPr>
            <w:tcW w:w="1113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79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91,3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 xml:space="preserve">Fadiga, câimbras ou </w:t>
            </w:r>
            <w:proofErr w:type="gramStart"/>
            <w:r w:rsidRPr="00954DFE">
              <w:rPr>
                <w:rFonts w:ascii="Times New Roman" w:hAnsi="Times New Roman" w:cs="Times New Roman"/>
                <w:color w:val="000000"/>
              </w:rPr>
              <w:t>prurido</w:t>
            </w:r>
            <w:proofErr w:type="gramEnd"/>
          </w:p>
        </w:tc>
        <w:tc>
          <w:tcPr>
            <w:tcW w:w="1113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79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Localização mais frequente</w:t>
            </w:r>
          </w:p>
        </w:tc>
        <w:tc>
          <w:tcPr>
            <w:tcW w:w="1113" w:type="dxa"/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Pés</w:t>
            </w:r>
          </w:p>
        </w:tc>
        <w:tc>
          <w:tcPr>
            <w:tcW w:w="1113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79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82,6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Panturrilhas</w:t>
            </w:r>
          </w:p>
        </w:tc>
        <w:tc>
          <w:tcPr>
            <w:tcW w:w="1113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79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Outra localização</w:t>
            </w:r>
          </w:p>
        </w:tc>
        <w:tc>
          <w:tcPr>
            <w:tcW w:w="1113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79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Hora do dia que aumenta de intensidade</w:t>
            </w:r>
          </w:p>
        </w:tc>
        <w:tc>
          <w:tcPr>
            <w:tcW w:w="1113" w:type="dxa"/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Durante a noite</w:t>
            </w:r>
          </w:p>
        </w:tc>
        <w:tc>
          <w:tcPr>
            <w:tcW w:w="1113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79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Durante o dia e a noite</w:t>
            </w:r>
          </w:p>
        </w:tc>
        <w:tc>
          <w:tcPr>
            <w:tcW w:w="1113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79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Apenas durante o dia</w:t>
            </w:r>
          </w:p>
        </w:tc>
        <w:tc>
          <w:tcPr>
            <w:tcW w:w="1113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179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30,4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Acordou a noite devido ao sintoma</w:t>
            </w:r>
          </w:p>
        </w:tc>
        <w:tc>
          <w:tcPr>
            <w:tcW w:w="1113" w:type="dxa"/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Sim</w:t>
            </w:r>
          </w:p>
        </w:tc>
        <w:tc>
          <w:tcPr>
            <w:tcW w:w="1113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79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47,8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Não</w:t>
            </w:r>
          </w:p>
        </w:tc>
        <w:tc>
          <w:tcPr>
            <w:tcW w:w="1113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79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Manobra capaz de diminuir o sintoma</w:t>
            </w:r>
          </w:p>
        </w:tc>
        <w:tc>
          <w:tcPr>
            <w:tcW w:w="1113" w:type="dxa"/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Andar</w:t>
            </w:r>
          </w:p>
        </w:tc>
        <w:tc>
          <w:tcPr>
            <w:tcW w:w="1113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179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34,8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Ficar de pé</w:t>
            </w:r>
          </w:p>
        </w:tc>
        <w:tc>
          <w:tcPr>
            <w:tcW w:w="1113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79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Sentar ou deitar</w:t>
            </w:r>
          </w:p>
        </w:tc>
        <w:tc>
          <w:tcPr>
            <w:tcW w:w="1113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79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65,2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5902" w:type="dxa"/>
            <w:gridSpan w:val="2"/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lastRenderedPageBreak/>
              <w:t>Classificação do sintoma segundo escore total</w:t>
            </w:r>
          </w:p>
        </w:tc>
        <w:tc>
          <w:tcPr>
            <w:tcW w:w="1179" w:type="dxa"/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Leve</w:t>
            </w:r>
          </w:p>
        </w:tc>
        <w:tc>
          <w:tcPr>
            <w:tcW w:w="1113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79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13,0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Moderado</w:t>
            </w:r>
          </w:p>
        </w:tc>
        <w:tc>
          <w:tcPr>
            <w:tcW w:w="1113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79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60,9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noWrap/>
            <w:hideMark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Grave</w:t>
            </w:r>
          </w:p>
        </w:tc>
        <w:tc>
          <w:tcPr>
            <w:tcW w:w="1113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179" w:type="dxa"/>
            <w:noWrap/>
            <w:hideMark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26,1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4789" w:type="dxa"/>
            <w:shd w:val="clear" w:color="auto" w:fill="F2F2F2" w:themeFill="background1" w:themeFillShade="F2"/>
            <w:noWrap/>
          </w:tcPr>
          <w:p w:rsidR="00FC60EC" w:rsidRPr="00954DFE" w:rsidRDefault="00FC60EC" w:rsidP="00B31B2F">
            <w:pPr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113" w:type="dxa"/>
            <w:shd w:val="clear" w:color="auto" w:fill="F2F2F2" w:themeFill="background1" w:themeFillShade="F2"/>
            <w:noWrap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79" w:type="dxa"/>
            <w:shd w:val="clear" w:color="auto" w:fill="F2F2F2" w:themeFill="background1" w:themeFillShade="F2"/>
            <w:noWrap/>
          </w:tcPr>
          <w:p w:rsidR="00FC60EC" w:rsidRPr="00954DFE" w:rsidRDefault="00FC60EC" w:rsidP="00B31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</w:tbl>
    <w:p w:rsidR="00FC60EC" w:rsidRPr="00954DFE" w:rsidRDefault="00FC60EC" w:rsidP="00FC60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54DF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Fonte: Portadores de diabetes mellitus cadastrados nas </w:t>
      </w:r>
      <w:proofErr w:type="spellStart"/>
      <w:proofErr w:type="gramStart"/>
      <w:r w:rsidRPr="00954DF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EqSF</w:t>
      </w:r>
      <w:proofErr w:type="spellEnd"/>
      <w:proofErr w:type="gramEnd"/>
      <w:r w:rsidRPr="00954DF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da Vila Bandeirantes.</w:t>
      </w:r>
    </w:p>
    <w:p w:rsidR="00FC60EC" w:rsidRDefault="00FC60EC" w:rsidP="00FC60E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C60EC" w:rsidRDefault="00FC60EC" w:rsidP="00FC60E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C60EC" w:rsidRPr="00954DFE" w:rsidRDefault="00FC60EC" w:rsidP="00FC60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54DFE">
        <w:rPr>
          <w:rFonts w:ascii="Times New Roman" w:eastAsia="Times New Roman" w:hAnsi="Times New Roman" w:cs="Times New Roman"/>
          <w:b/>
          <w:color w:val="000000"/>
          <w:lang w:eastAsia="pt-BR"/>
        </w:rPr>
        <w:t>Tabela 0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>4</w:t>
      </w:r>
      <w:r w:rsidRPr="00954DFE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. </w:t>
      </w:r>
      <w:r w:rsidRPr="00954DFE">
        <w:rPr>
          <w:rFonts w:ascii="Times New Roman" w:eastAsia="Times New Roman" w:hAnsi="Times New Roman" w:cs="Times New Roman"/>
          <w:color w:val="000000"/>
          <w:lang w:eastAsia="pt-BR"/>
        </w:rPr>
        <w:t>Análise descritiva do teste de mobilidade funcional (TUG) e gradiente de alterações sensitivas nos idosos diabéticos. Teresina – PI, 2012.</w:t>
      </w:r>
    </w:p>
    <w:tbl>
      <w:tblPr>
        <w:tblStyle w:val="Tabelacomgrade1"/>
        <w:tblW w:w="0" w:type="auto"/>
        <w:jc w:val="center"/>
        <w:tblInd w:w="-92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7"/>
        <w:gridCol w:w="1701"/>
        <w:gridCol w:w="1418"/>
      </w:tblGrid>
      <w:tr w:rsidR="00FC60EC" w:rsidRPr="00954DFE" w:rsidTr="00B31B2F">
        <w:trPr>
          <w:trHeight w:val="300"/>
          <w:jc w:val="center"/>
        </w:trPr>
        <w:tc>
          <w:tcPr>
            <w:tcW w:w="399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54DFE">
              <w:rPr>
                <w:rFonts w:ascii="Times New Roman" w:hAnsi="Times New Roman" w:cs="Times New Roman"/>
                <w:b/>
                <w:color w:val="000000"/>
              </w:rPr>
              <w:t>Testes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54DFE">
              <w:rPr>
                <w:rFonts w:ascii="Times New Roman" w:hAnsi="Times New Roman" w:cs="Times New Roman"/>
                <w:b/>
                <w:color w:val="000000"/>
              </w:rPr>
              <w:t>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54DFE">
              <w:rPr>
                <w:rFonts w:ascii="Times New Roman" w:hAnsi="Times New Roman" w:cs="Times New Roman"/>
                <w:b/>
                <w:color w:val="000000"/>
              </w:rPr>
              <w:t>%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3997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TUG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3997" w:type="dxa"/>
            <w:noWrap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≤ 10 segundos</w:t>
            </w:r>
          </w:p>
        </w:tc>
        <w:tc>
          <w:tcPr>
            <w:tcW w:w="1701" w:type="dxa"/>
            <w:noWrap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noWrap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3997" w:type="dxa"/>
            <w:shd w:val="clear" w:color="auto" w:fill="FFFFFF" w:themeFill="background1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≤ 20 segundos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61,3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3997" w:type="dxa"/>
            <w:shd w:val="clear" w:color="auto" w:fill="FFFFFF" w:themeFill="background1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˃ 20 segundos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35,5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3997" w:type="dxa"/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DFE">
              <w:rPr>
                <w:rFonts w:ascii="Times New Roman" w:hAnsi="Times New Roman" w:cs="Times New Roman"/>
                <w:color w:val="000000"/>
              </w:rPr>
              <w:t>Monofilamento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3997" w:type="dxa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 xml:space="preserve">Estágio </w:t>
            </w:r>
            <w:proofErr w:type="gramStart"/>
            <w:r w:rsidRPr="00954DFE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</w:p>
        </w:tc>
        <w:tc>
          <w:tcPr>
            <w:tcW w:w="1701" w:type="dxa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3997" w:type="dxa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 xml:space="preserve">Estágio </w:t>
            </w:r>
            <w:proofErr w:type="gramStart"/>
            <w:r w:rsidRPr="00954DFE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9,7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3997" w:type="dxa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 xml:space="preserve">Estágio </w:t>
            </w:r>
            <w:proofErr w:type="gramStart"/>
            <w:r w:rsidRPr="00954DFE">
              <w:rPr>
                <w:rFonts w:ascii="Times New Roman" w:hAnsi="Times New Roman" w:cs="Times New Roman"/>
                <w:color w:val="000000"/>
              </w:rPr>
              <w:t>3</w:t>
            </w:r>
            <w:proofErr w:type="gramEnd"/>
          </w:p>
        </w:tc>
        <w:tc>
          <w:tcPr>
            <w:tcW w:w="1701" w:type="dxa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8" w:type="dxa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74,2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3997" w:type="dxa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 xml:space="preserve">Estágio </w:t>
            </w:r>
            <w:proofErr w:type="gramStart"/>
            <w:r w:rsidRPr="00954DFE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1701" w:type="dxa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9,7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3997" w:type="dxa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 xml:space="preserve">Estágio </w:t>
            </w:r>
            <w:proofErr w:type="gramStart"/>
            <w:r w:rsidRPr="00954DFE">
              <w:rPr>
                <w:rFonts w:ascii="Times New Roman" w:hAnsi="Times New Roman" w:cs="Times New Roman"/>
                <w:color w:val="000000"/>
              </w:rPr>
              <w:t>5</w:t>
            </w:r>
            <w:proofErr w:type="gramEnd"/>
          </w:p>
        </w:tc>
        <w:tc>
          <w:tcPr>
            <w:tcW w:w="1701" w:type="dxa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C60EC" w:rsidRPr="00954DFE" w:rsidTr="00B31B2F">
        <w:trPr>
          <w:trHeight w:val="300"/>
          <w:jc w:val="center"/>
        </w:trPr>
        <w:tc>
          <w:tcPr>
            <w:tcW w:w="3997" w:type="dxa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701" w:type="dxa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18" w:type="dxa"/>
            <w:noWrap/>
            <w:hideMark/>
          </w:tcPr>
          <w:p w:rsidR="00FC60EC" w:rsidRPr="00954DFE" w:rsidRDefault="00FC60EC" w:rsidP="00B31B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DF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:rsidR="00FC60EC" w:rsidRPr="00954DFE" w:rsidRDefault="00FC60EC" w:rsidP="00FC60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54DF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Fonte: Portadores de diabetes mellitus cadastrados nas </w:t>
      </w:r>
      <w:proofErr w:type="spellStart"/>
      <w:proofErr w:type="gramStart"/>
      <w:r w:rsidRPr="00954DF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EqSF</w:t>
      </w:r>
      <w:proofErr w:type="spellEnd"/>
      <w:proofErr w:type="gramEnd"/>
      <w:r w:rsidRPr="00954DF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da Vila Bandeirantes.</w:t>
      </w:r>
    </w:p>
    <w:p w:rsidR="00FC60EC" w:rsidRDefault="00FC60EC" w:rsidP="00FC60E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C60EC" w:rsidRDefault="00FC60EC" w:rsidP="00FC60E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C60EC" w:rsidRPr="00954DFE" w:rsidRDefault="00FC60EC" w:rsidP="00FC6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954DFE">
        <w:rPr>
          <w:rFonts w:ascii="Times New Roman" w:eastAsia="Times New Roman" w:hAnsi="Times New Roman" w:cs="Times New Roman"/>
          <w:b/>
          <w:color w:val="000000"/>
          <w:lang w:eastAsia="pt-BR"/>
        </w:rPr>
        <w:t>Tabela 0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>5</w:t>
      </w:r>
      <w:r w:rsidRPr="00954DFE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. </w:t>
      </w:r>
      <w:r w:rsidRPr="00954DFE">
        <w:rPr>
          <w:rFonts w:ascii="Times New Roman" w:eastAsia="Times New Roman" w:hAnsi="Times New Roman" w:cs="Times New Roman"/>
          <w:color w:val="000000"/>
          <w:lang w:eastAsia="pt-BR"/>
        </w:rPr>
        <w:t xml:space="preserve">Análise da correlação entre o escore do TUG e o teste de sensibilidade com </w:t>
      </w:r>
      <w:proofErr w:type="spellStart"/>
      <w:r w:rsidRPr="00954DFE">
        <w:rPr>
          <w:rFonts w:ascii="Times New Roman" w:eastAsia="Times New Roman" w:hAnsi="Times New Roman" w:cs="Times New Roman"/>
          <w:color w:val="000000"/>
          <w:lang w:eastAsia="pt-BR"/>
        </w:rPr>
        <w:t>monofilamento</w:t>
      </w:r>
      <w:proofErr w:type="spellEnd"/>
      <w:r w:rsidRPr="00954DFE">
        <w:rPr>
          <w:rFonts w:ascii="Times New Roman" w:eastAsia="Times New Roman" w:hAnsi="Times New Roman" w:cs="Times New Roman"/>
          <w:color w:val="000000"/>
          <w:lang w:eastAsia="pt-BR"/>
        </w:rPr>
        <w:t xml:space="preserve"> de </w:t>
      </w:r>
      <w:proofErr w:type="spellStart"/>
      <w:r w:rsidRPr="00954DFE">
        <w:rPr>
          <w:rFonts w:ascii="Times New Roman" w:eastAsia="Times New Roman" w:hAnsi="Times New Roman" w:cs="Times New Roman"/>
          <w:color w:val="000000"/>
          <w:lang w:eastAsia="pt-BR"/>
        </w:rPr>
        <w:t>Semmes-Weinstein</w:t>
      </w:r>
      <w:proofErr w:type="spellEnd"/>
      <w:r w:rsidRPr="00954DFE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tbl>
      <w:tblPr>
        <w:tblStyle w:val="Tabelacomgrade2"/>
        <w:tblW w:w="9464" w:type="dxa"/>
        <w:tblLook w:val="04A0" w:firstRow="1" w:lastRow="0" w:firstColumn="1" w:lastColumn="0" w:noHBand="0" w:noVBand="1"/>
      </w:tblPr>
      <w:tblGrid>
        <w:gridCol w:w="2376"/>
        <w:gridCol w:w="1063"/>
        <w:gridCol w:w="1017"/>
        <w:gridCol w:w="897"/>
        <w:gridCol w:w="992"/>
        <w:gridCol w:w="851"/>
        <w:gridCol w:w="850"/>
        <w:gridCol w:w="1418"/>
      </w:tblGrid>
      <w:tr w:rsidR="00FC60EC" w:rsidRPr="00954DFE" w:rsidTr="00B31B2F">
        <w:tc>
          <w:tcPr>
            <w:tcW w:w="2376" w:type="dxa"/>
            <w:vMerge w:val="restart"/>
            <w:tcBorders>
              <w:left w:val="nil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FC60EC" w:rsidRPr="0090087D" w:rsidRDefault="00FC60EC" w:rsidP="00B31B2F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FC60EC" w:rsidRPr="0090087D" w:rsidRDefault="00FC60EC" w:rsidP="00B31B2F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proofErr w:type="spellStart"/>
            <w:r w:rsidRPr="0090087D">
              <w:rPr>
                <w:rFonts w:ascii="Times New Roman" w:eastAsia="Times New Roman" w:hAnsi="Times New Roman"/>
                <w:b/>
                <w:sz w:val="22"/>
                <w:szCs w:val="22"/>
              </w:rPr>
              <w:t>Monofilamentos</w:t>
            </w:r>
            <w:proofErr w:type="spellEnd"/>
          </w:p>
          <w:p w:rsidR="00FC60EC" w:rsidRPr="0090087D" w:rsidRDefault="00FC60EC" w:rsidP="00B31B2F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:rsidR="00FC60EC" w:rsidRPr="0090087D" w:rsidRDefault="00FC60EC" w:rsidP="00B31B2F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               TUG</w:t>
            </w:r>
          </w:p>
        </w:tc>
        <w:tc>
          <w:tcPr>
            <w:tcW w:w="170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:rsidR="00FC60EC" w:rsidRPr="0090087D" w:rsidRDefault="00FC60EC" w:rsidP="00B31B2F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:rsidR="00FC60EC" w:rsidRPr="0090087D" w:rsidRDefault="00FC60EC" w:rsidP="00B31B2F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b/>
                <w:sz w:val="22"/>
                <w:szCs w:val="22"/>
                <w:shd w:val="clear" w:color="auto" w:fill="D9D9D9"/>
              </w:rPr>
              <w:t>Valor de ρ</w:t>
            </w:r>
            <w:r w:rsidRPr="0090087D">
              <w:rPr>
                <w:rFonts w:ascii="Times New Roman" w:eastAsia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FC60EC" w:rsidRPr="00954DFE" w:rsidTr="00B31B2F">
        <w:tc>
          <w:tcPr>
            <w:tcW w:w="2376" w:type="dxa"/>
            <w:vMerge/>
            <w:tcBorders>
              <w:left w:val="nil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FC60EC" w:rsidRPr="0090087D" w:rsidRDefault="00FC60EC" w:rsidP="00B31B2F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FC60EC" w:rsidRPr="0090087D" w:rsidRDefault="00FC60EC" w:rsidP="00B31B2F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b/>
                <w:sz w:val="22"/>
                <w:szCs w:val="22"/>
              </w:rPr>
              <w:t>≤10 segundos</w:t>
            </w:r>
          </w:p>
        </w:tc>
        <w:tc>
          <w:tcPr>
            <w:tcW w:w="188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FC60EC" w:rsidRPr="0090087D" w:rsidRDefault="00FC60EC" w:rsidP="00B31B2F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b/>
                <w:sz w:val="22"/>
                <w:szCs w:val="22"/>
              </w:rPr>
              <w:t>≤20 segundos</w:t>
            </w:r>
          </w:p>
        </w:tc>
        <w:tc>
          <w:tcPr>
            <w:tcW w:w="170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FC60EC" w:rsidRPr="0090087D" w:rsidRDefault="00FC60EC" w:rsidP="00B31B2F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≥20 segundos </w:t>
            </w:r>
          </w:p>
        </w:tc>
        <w:tc>
          <w:tcPr>
            <w:tcW w:w="1418" w:type="dxa"/>
            <w:vMerge/>
            <w:tcBorders>
              <w:left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:rsidR="00FC60EC" w:rsidRPr="0090087D" w:rsidRDefault="00FC60EC" w:rsidP="00B31B2F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</w:tr>
      <w:tr w:rsidR="00FC60EC" w:rsidRPr="00954DFE" w:rsidTr="00B31B2F">
        <w:tc>
          <w:tcPr>
            <w:tcW w:w="2376" w:type="dxa"/>
            <w:vMerge/>
            <w:tcBorders>
              <w:left w:val="nil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:rsidR="00FC60EC" w:rsidRPr="0090087D" w:rsidRDefault="00FC60EC" w:rsidP="00B31B2F">
            <w:pPr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FC60EC" w:rsidRPr="0090087D" w:rsidRDefault="00FC60EC" w:rsidP="00B31B2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N</w:t>
            </w:r>
          </w:p>
        </w:tc>
        <w:tc>
          <w:tcPr>
            <w:tcW w:w="10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FC60EC" w:rsidRPr="0090087D" w:rsidRDefault="00FC60EC" w:rsidP="00B31B2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  <w:tc>
          <w:tcPr>
            <w:tcW w:w="8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FC60EC" w:rsidRPr="0090087D" w:rsidRDefault="00FC60EC" w:rsidP="00B31B2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FC60EC" w:rsidRPr="0090087D" w:rsidRDefault="00FC60EC" w:rsidP="00B31B2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FC60EC" w:rsidRPr="0090087D" w:rsidRDefault="00FC60EC" w:rsidP="00B31B2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N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FC60EC" w:rsidRPr="0090087D" w:rsidRDefault="00FC60EC" w:rsidP="00B31B2F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418" w:type="dxa"/>
            <w:vMerge/>
            <w:tcBorders>
              <w:left w:val="single" w:sz="4" w:space="0" w:color="FFFFFF" w:themeColor="background1"/>
              <w:right w:val="nil"/>
            </w:tcBorders>
            <w:shd w:val="clear" w:color="auto" w:fill="D9D9D9" w:themeFill="background1" w:themeFillShade="D9"/>
          </w:tcPr>
          <w:p w:rsidR="00FC60EC" w:rsidRPr="0090087D" w:rsidRDefault="00FC60EC" w:rsidP="00B31B2F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</w:tr>
      <w:tr w:rsidR="00FC60EC" w:rsidRPr="00954DFE" w:rsidTr="00B31B2F">
        <w:tc>
          <w:tcPr>
            <w:tcW w:w="2376" w:type="dxa"/>
            <w:tcBorders>
              <w:left w:val="nil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FC60EC" w:rsidRPr="0090087D" w:rsidRDefault="00FC60EC" w:rsidP="00B31B2F">
            <w:pPr>
              <w:spacing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Estágio </w:t>
            </w:r>
            <w:proofErr w:type="gramStart"/>
            <w:r w:rsidRPr="0090087D">
              <w:rPr>
                <w:rFonts w:ascii="Times New Roman" w:eastAsia="Times New Roman" w:hAnsi="Times New Roman"/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106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  <w:proofErr w:type="gramEnd"/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  <w:proofErr w:type="gramEnd"/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418" w:type="dxa"/>
            <w:vMerge w:val="restart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0,300**</w:t>
            </w:r>
          </w:p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C60EC" w:rsidRPr="00954DFE" w:rsidTr="00B31B2F">
        <w:tc>
          <w:tcPr>
            <w:tcW w:w="2376" w:type="dxa"/>
            <w:tcBorders>
              <w:left w:val="nil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FC60EC" w:rsidRPr="0090087D" w:rsidRDefault="00FC60EC" w:rsidP="00B31B2F">
            <w:pPr>
              <w:spacing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Estágio </w:t>
            </w:r>
            <w:proofErr w:type="gramStart"/>
            <w:r w:rsidRPr="0090087D">
              <w:rPr>
                <w:rFonts w:ascii="Times New Roman" w:eastAsia="Times New Roman" w:hAnsi="Times New Roman"/>
                <w:b/>
                <w:sz w:val="22"/>
                <w:szCs w:val="22"/>
              </w:rPr>
              <w:t>2</w:t>
            </w:r>
            <w:proofErr w:type="gramEnd"/>
          </w:p>
        </w:tc>
        <w:tc>
          <w:tcPr>
            <w:tcW w:w="106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  <w:proofErr w:type="gramEnd"/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  <w:proofErr w:type="gramEnd"/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418" w:type="dxa"/>
            <w:vMerge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FC60EC" w:rsidRPr="00954DFE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C60EC" w:rsidRPr="00954DFE" w:rsidTr="00B31B2F">
        <w:tc>
          <w:tcPr>
            <w:tcW w:w="2376" w:type="dxa"/>
            <w:tcBorders>
              <w:left w:val="nil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FC60EC" w:rsidRPr="0090087D" w:rsidRDefault="00FC60EC" w:rsidP="00B31B2F">
            <w:pPr>
              <w:spacing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Estágio </w:t>
            </w:r>
            <w:proofErr w:type="gramStart"/>
            <w:r w:rsidRPr="0090087D">
              <w:rPr>
                <w:rFonts w:ascii="Times New Roman" w:eastAsia="Times New Roman" w:hAnsi="Times New Roman"/>
                <w:b/>
                <w:sz w:val="22"/>
                <w:szCs w:val="22"/>
              </w:rPr>
              <w:t>3</w:t>
            </w:r>
            <w:proofErr w:type="gramEnd"/>
          </w:p>
        </w:tc>
        <w:tc>
          <w:tcPr>
            <w:tcW w:w="106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0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8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9</w:t>
            </w:r>
            <w:proofErr w:type="gramEnd"/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36,0</w:t>
            </w:r>
          </w:p>
        </w:tc>
        <w:tc>
          <w:tcPr>
            <w:tcW w:w="1418" w:type="dxa"/>
            <w:vMerge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FC60EC" w:rsidRPr="00954DFE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C60EC" w:rsidRPr="00954DFE" w:rsidTr="00B31B2F">
        <w:tc>
          <w:tcPr>
            <w:tcW w:w="2376" w:type="dxa"/>
            <w:tcBorders>
              <w:left w:val="nil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FC60EC" w:rsidRPr="0090087D" w:rsidRDefault="00FC60EC" w:rsidP="00B31B2F">
            <w:pPr>
              <w:spacing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Estágio </w:t>
            </w:r>
            <w:proofErr w:type="gramStart"/>
            <w:r w:rsidRPr="0090087D">
              <w:rPr>
                <w:rFonts w:ascii="Times New Roman" w:eastAsia="Times New Roman" w:hAnsi="Times New Roman"/>
                <w:b/>
                <w:sz w:val="22"/>
                <w:szCs w:val="22"/>
              </w:rPr>
              <w:t>4</w:t>
            </w:r>
            <w:proofErr w:type="gramEnd"/>
          </w:p>
        </w:tc>
        <w:tc>
          <w:tcPr>
            <w:tcW w:w="106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FC60EC" w:rsidRPr="00954DFE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C60EC" w:rsidRPr="00954DFE" w:rsidTr="00B31B2F">
        <w:tc>
          <w:tcPr>
            <w:tcW w:w="2376" w:type="dxa"/>
            <w:tcBorders>
              <w:left w:val="nil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FC60EC" w:rsidRPr="0090087D" w:rsidRDefault="00FC60EC" w:rsidP="00B31B2F">
            <w:pPr>
              <w:spacing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06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0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3,2</w:t>
            </w:r>
          </w:p>
        </w:tc>
        <w:tc>
          <w:tcPr>
            <w:tcW w:w="8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61,3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60EC" w:rsidRPr="0090087D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0087D">
              <w:rPr>
                <w:rFonts w:ascii="Times New Roman" w:eastAsia="Times New Roman" w:hAnsi="Times New Roman"/>
                <w:sz w:val="22"/>
                <w:szCs w:val="22"/>
              </w:rPr>
              <w:t>35,5</w:t>
            </w:r>
          </w:p>
        </w:tc>
        <w:tc>
          <w:tcPr>
            <w:tcW w:w="1418" w:type="dxa"/>
            <w:vMerge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FC60EC" w:rsidRPr="00954DFE" w:rsidRDefault="00FC60EC" w:rsidP="00B31B2F">
            <w:pPr>
              <w:spacing w:after="6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FC60EC" w:rsidRPr="00954DFE" w:rsidRDefault="00FC60EC" w:rsidP="00FC60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954DFE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*Teste de Correlação de </w:t>
      </w:r>
      <w:proofErr w:type="spellStart"/>
      <w:r w:rsidRPr="00954DFE">
        <w:rPr>
          <w:rFonts w:ascii="Times New Roman" w:eastAsia="Times New Roman" w:hAnsi="Times New Roman" w:cs="Times New Roman"/>
          <w:sz w:val="20"/>
          <w:szCs w:val="24"/>
          <w:lang w:eastAsia="pt-BR"/>
        </w:rPr>
        <w:t>Spearman</w:t>
      </w:r>
      <w:proofErr w:type="spellEnd"/>
      <w:r w:rsidRPr="00954DFE">
        <w:rPr>
          <w:rFonts w:ascii="Times New Roman" w:eastAsia="Times New Roman" w:hAnsi="Times New Roman" w:cs="Times New Roman"/>
          <w:sz w:val="20"/>
          <w:szCs w:val="24"/>
          <w:lang w:eastAsia="pt-BR"/>
        </w:rPr>
        <w:t>; **0,300 = fraca correlação [0,5-0,75].</w:t>
      </w:r>
    </w:p>
    <w:p w:rsidR="00FC60EC" w:rsidRPr="00954DFE" w:rsidRDefault="00FC60EC" w:rsidP="00FC60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54DF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Fonte: Portadores de diabetes mellitus cadastrados nas </w:t>
      </w:r>
      <w:proofErr w:type="spellStart"/>
      <w:proofErr w:type="gramStart"/>
      <w:r w:rsidRPr="00954DF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EqSF</w:t>
      </w:r>
      <w:proofErr w:type="spellEnd"/>
      <w:proofErr w:type="gramEnd"/>
      <w:r w:rsidRPr="00954DF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da Vila Bandeirantes.</w:t>
      </w:r>
    </w:p>
    <w:p w:rsidR="00957D80" w:rsidRDefault="00957D80"/>
    <w:sectPr w:rsidR="00957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EC"/>
    <w:rsid w:val="00957D80"/>
    <w:rsid w:val="00FC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C60EC"/>
    <w:pPr>
      <w:spacing w:after="0" w:line="240" w:lineRule="auto"/>
    </w:pPr>
    <w:rPr>
      <w:rFonts w:eastAsia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FC60EC"/>
    <w:pPr>
      <w:spacing w:after="0" w:line="240" w:lineRule="auto"/>
    </w:pPr>
    <w:rPr>
      <w:rFonts w:eastAsia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FC60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C60EC"/>
    <w:pPr>
      <w:spacing w:after="0" w:line="240" w:lineRule="auto"/>
    </w:pPr>
    <w:rPr>
      <w:rFonts w:eastAsia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FC60EC"/>
    <w:pPr>
      <w:spacing w:after="0" w:line="240" w:lineRule="auto"/>
    </w:pPr>
    <w:rPr>
      <w:rFonts w:eastAsia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FC60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</cp:lastModifiedBy>
  <cp:revision>1</cp:revision>
  <dcterms:created xsi:type="dcterms:W3CDTF">2013-05-29T01:36:00Z</dcterms:created>
  <dcterms:modified xsi:type="dcterms:W3CDTF">2013-05-29T01:37:00Z</dcterms:modified>
</cp:coreProperties>
</file>