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7D" w:rsidRDefault="006C537D" w:rsidP="006C537D">
      <w:pPr>
        <w:spacing w:line="480" w:lineRule="auto"/>
        <w:rPr>
          <w:rFonts w:ascii="Times New Roman" w:hAnsi="Times New Roman"/>
          <w:b/>
          <w:sz w:val="24"/>
        </w:rPr>
      </w:pPr>
      <w:r w:rsidRPr="006C537D">
        <w:rPr>
          <w:rFonts w:ascii="Times New Roman" w:hAnsi="Times New Roman"/>
          <w:b/>
          <w:sz w:val="24"/>
        </w:rPr>
        <w:t xml:space="preserve">SÍNDROME DE MORBIHAN: </w:t>
      </w:r>
      <w:r w:rsidR="001E38D3">
        <w:rPr>
          <w:rFonts w:ascii="Times New Roman" w:hAnsi="Times New Roman"/>
          <w:b/>
          <w:sz w:val="24"/>
        </w:rPr>
        <w:t>UMA</w:t>
      </w:r>
      <w:r w:rsidRPr="006C537D">
        <w:rPr>
          <w:rFonts w:ascii="Times New Roman" w:hAnsi="Times New Roman"/>
          <w:b/>
          <w:sz w:val="24"/>
        </w:rPr>
        <w:t xml:space="preserve"> REVISÃO </w:t>
      </w:r>
    </w:p>
    <w:p w:rsidR="001E38D3" w:rsidRPr="006C537D" w:rsidRDefault="001E38D3" w:rsidP="006C537D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MORBIHAN SYNDROME: A REVIEW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AUTORES: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Marina Macellaro: Residente do segundo ano da Dermatologia da Pontifícia Universidade Católica de Campinas. E</w:t>
      </w:r>
      <w:r w:rsidR="001E38D3">
        <w:rPr>
          <w:rFonts w:ascii="Times New Roman" w:hAnsi="Times New Roman"/>
          <w:sz w:val="24"/>
        </w:rPr>
        <w:t>-</w:t>
      </w:r>
      <w:r w:rsidRPr="006C537D">
        <w:rPr>
          <w:rFonts w:ascii="Times New Roman" w:hAnsi="Times New Roman"/>
          <w:sz w:val="24"/>
        </w:rPr>
        <w:softHyphen/>
        <w:t>mail: </w:t>
      </w:r>
      <w:hyperlink r:id="rId8" w:history="1">
        <w:r w:rsidR="00A90C48" w:rsidRPr="006C537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marinamacellaro@hotmail.com</w:t>
        </w:r>
      </w:hyperlink>
      <w:r w:rsidRPr="006C537D">
        <w:rPr>
          <w:rFonts w:ascii="Times New Roman" w:hAnsi="Times New Roman"/>
          <w:sz w:val="24"/>
        </w:rPr>
        <w:t xml:space="preserve">. </w:t>
      </w:r>
    </w:p>
    <w:p w:rsidR="006C537D" w:rsidRPr="001E38D3" w:rsidRDefault="006C537D" w:rsidP="006C537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37D">
        <w:rPr>
          <w:rFonts w:ascii="Times New Roman" w:hAnsi="Times New Roman"/>
          <w:sz w:val="24"/>
        </w:rPr>
        <w:t>Livia M. Gontijo: Residente do terceiro ano da Dermatologia da Pontifícia Un</w:t>
      </w:r>
      <w:r w:rsidR="001E38D3">
        <w:rPr>
          <w:rFonts w:ascii="Times New Roman" w:hAnsi="Times New Roman"/>
          <w:sz w:val="24"/>
        </w:rPr>
        <w:t>iversidade Católica de Campinas</w:t>
      </w:r>
      <w:r w:rsidR="001E38D3">
        <w:rPr>
          <w:rStyle w:val="arial12pxazulesc"/>
          <w:rFonts w:ascii="Times New Roman" w:hAnsi="Times New Roman" w:cs="Times New Roman"/>
          <w:sz w:val="24"/>
          <w:szCs w:val="24"/>
        </w:rPr>
        <w:t>.</w:t>
      </w:r>
      <w:r w:rsidR="001E38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38D3">
        <w:rPr>
          <w:rFonts w:ascii="Times New Roman" w:hAnsi="Times New Roman" w:cs="Times New Roman"/>
          <w:bCs/>
          <w:sz w:val="24"/>
          <w:szCs w:val="24"/>
        </w:rPr>
        <w:t>E-mail</w:t>
      </w:r>
      <w:r w:rsidR="001E38D3">
        <w:rPr>
          <w:rFonts w:ascii="Times New Roman" w:hAnsi="Times New Roman" w:cs="Times New Roman"/>
          <w:sz w:val="24"/>
          <w:szCs w:val="24"/>
        </w:rPr>
        <w:t>: livinha_med39@yahoo.com.br.</w:t>
      </w:r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Renan Lage: Assistente no ambulatório de Dermatologia da Pontifícia Universidade Católica de Campinas.</w:t>
      </w:r>
      <w:r w:rsidR="00C64DC9">
        <w:rPr>
          <w:rFonts w:ascii="Times New Roman" w:hAnsi="Times New Roman"/>
          <w:sz w:val="24"/>
        </w:rPr>
        <w:t xml:space="preserve"> Professor da Disciplina de Dermatologia do curso de Medicina da Pontifícia Universidade Católica de Campinas. </w:t>
      </w:r>
      <w:r w:rsidR="00C64DC9" w:rsidRPr="006C537D">
        <w:rPr>
          <w:rFonts w:ascii="Times New Roman" w:hAnsi="Times New Roman"/>
          <w:sz w:val="24"/>
        </w:rPr>
        <w:t>E</w:t>
      </w:r>
      <w:r w:rsidR="00C64DC9">
        <w:rPr>
          <w:rFonts w:ascii="Times New Roman" w:hAnsi="Times New Roman"/>
          <w:sz w:val="24"/>
        </w:rPr>
        <w:t>-</w:t>
      </w:r>
      <w:r w:rsidR="00C64DC9" w:rsidRPr="006C537D">
        <w:rPr>
          <w:rFonts w:ascii="Times New Roman" w:hAnsi="Times New Roman"/>
          <w:sz w:val="24"/>
        </w:rPr>
        <w:softHyphen/>
        <w:t>mail: </w:t>
      </w:r>
      <w:r w:rsidR="00C64DC9">
        <w:rPr>
          <w:rFonts w:ascii="Times New Roman" w:hAnsi="Times New Roman"/>
          <w:sz w:val="24"/>
        </w:rPr>
        <w:t>drrenandermato@yahoo.com.br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>Renata Cristina Vasconcellos:  Residente do segundo ano da Dermatologia da Pontifícia Universidade Católica de Campinas. E-mail: </w:t>
      </w:r>
      <w:hyperlink r:id="rId9" w:history="1">
        <w:r w:rsidR="0006327D" w:rsidRPr="006C537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renata.cv.92@gmail.com</w:t>
        </w:r>
      </w:hyperlink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 xml:space="preserve">Nathalia </w:t>
      </w:r>
      <w:proofErr w:type="spellStart"/>
      <w:r w:rsidRPr="006C537D">
        <w:rPr>
          <w:rFonts w:ascii="Times New Roman" w:eastAsia="Times New Roman" w:hAnsi="Times New Roman"/>
          <w:sz w:val="24"/>
        </w:rPr>
        <w:t>Hatsue</w:t>
      </w:r>
      <w:proofErr w:type="spellEnd"/>
      <w:r w:rsidRPr="006C537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eastAsia="Times New Roman" w:hAnsi="Times New Roman"/>
          <w:sz w:val="24"/>
        </w:rPr>
        <w:t>Oushiro</w:t>
      </w:r>
      <w:proofErr w:type="spellEnd"/>
      <w:r w:rsidRPr="006C537D">
        <w:rPr>
          <w:rFonts w:ascii="Times New Roman" w:eastAsia="Times New Roman" w:hAnsi="Times New Roman"/>
          <w:sz w:val="24"/>
        </w:rPr>
        <w:t>:  Residente do segundo ano da Dermatologia da Pontifícia Universidade Católica de Campinas. E-mail: nathalia.oushiro@gmail.com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1E38D3" w:rsidRPr="001E38D3" w:rsidRDefault="001E38D3" w:rsidP="001E38D3">
      <w:pPr>
        <w:spacing w:line="480" w:lineRule="auto"/>
        <w:rPr>
          <w:rFonts w:ascii="Times New Roman" w:eastAsia="Times New Roman" w:hAnsi="Times New Roman" w:cs="Times New Roman"/>
          <w:sz w:val="24"/>
          <w:lang w:eastAsia="pt-BR"/>
        </w:rPr>
      </w:pPr>
      <w:r w:rsidRPr="001E38D3">
        <w:rPr>
          <w:rFonts w:ascii="Times New Roman" w:eastAsia="Times New Roman" w:hAnsi="Times New Roman" w:cs="Times New Roman"/>
          <w:b/>
          <w:sz w:val="24"/>
          <w:lang w:eastAsia="pt-BR"/>
        </w:rPr>
        <w:t>Correspondência</w:t>
      </w:r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 Marina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Macellaro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. Campus II PUCCAMP- Avenida John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Boyd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Dunlop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 sem numero, prédio dos ambulatórios, corredor da dermatologia. Bairro: Jardim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Ipaussurama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, Campinas- SP, CEP: 13034- 685. Telefone; (19)33438600/ (19)991234949.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Email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 </w:t>
      </w:r>
      <w:hyperlink r:id="rId10" w:history="1">
        <w:r w:rsidRPr="00C64DC9">
          <w:rPr>
            <w:rFonts w:ascii="Times New Roman" w:eastAsia="Times New Roman" w:hAnsi="Times New Roman" w:cs="Times New Roman"/>
            <w:sz w:val="24"/>
            <w:u w:val="single"/>
            <w:lang w:eastAsia="pt-BR"/>
          </w:rPr>
          <w:t>marinamacellaro@hotmail.co</w:t>
        </w:r>
      </w:hyperlink>
      <w:r w:rsidRPr="001E38D3">
        <w:rPr>
          <w:rFonts w:ascii="Times New Roman" w:eastAsia="Times New Roman" w:hAnsi="Times New Roman" w:cs="Times New Roman"/>
          <w:sz w:val="24"/>
          <w:lang w:eastAsia="pt-BR"/>
        </w:rPr>
        <w:t>m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RESUMO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uma rara entidade, mais comum na terceira ou quarta década de vida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 xml:space="preserve">. Afeta principalmente caucasianos adultos de ambos os sexos, apresentando incidência maior nas mulheres. É considerada uma forma de rosácea tendo como </w:t>
      </w:r>
      <w:proofErr w:type="gramStart"/>
      <w:r w:rsidRPr="006C537D">
        <w:rPr>
          <w:rFonts w:ascii="Times New Roman" w:hAnsi="Times New Roman"/>
          <w:sz w:val="24"/>
        </w:rPr>
        <w:t xml:space="preserve">sinônimos </w:t>
      </w:r>
      <w:r w:rsidRPr="006C537D">
        <w:rPr>
          <w:rFonts w:ascii="Times New Roman" w:hAnsi="Times New Roman"/>
          <w:sz w:val="24"/>
          <w:lang w:val="pt-PT"/>
        </w:rPr>
        <w:t>linfedema rosáceo</w:t>
      </w:r>
      <w:proofErr w:type="gramEnd"/>
      <w:r w:rsidRPr="006C537D">
        <w:rPr>
          <w:rFonts w:ascii="Times New Roman" w:hAnsi="Times New Roman"/>
          <w:sz w:val="24"/>
          <w:lang w:val="pt-PT"/>
        </w:rPr>
        <w:t xml:space="preserve"> e edema facial persistente sólido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2</w:t>
      </w:r>
      <w:r w:rsidRPr="006C537D">
        <w:rPr>
          <w:rFonts w:ascii="Times New Roman" w:hAnsi="Times New Roman"/>
          <w:sz w:val="24"/>
          <w:lang w:val="pt-PT"/>
        </w:rPr>
        <w:t>. S</w:t>
      </w:r>
      <w:proofErr w:type="spellStart"/>
      <w:r w:rsidRPr="006C537D">
        <w:rPr>
          <w:rFonts w:ascii="Times New Roman" w:hAnsi="Times New Roman"/>
          <w:sz w:val="24"/>
        </w:rPr>
        <w:t>ua</w:t>
      </w:r>
      <w:proofErr w:type="spellEnd"/>
      <w:r w:rsidRPr="006C537D">
        <w:rPr>
          <w:rFonts w:ascii="Times New Roman" w:hAnsi="Times New Roman"/>
          <w:sz w:val="24"/>
        </w:rPr>
        <w:t xml:space="preserve"> patogênese não é completamente conhecida. Clinicamente caracterizada pelo aparecimento lento de eritema e edema sólido nos dois terços superiores da face, com acentuação na região </w:t>
      </w:r>
      <w:proofErr w:type="spellStart"/>
      <w:r w:rsidRPr="006C537D">
        <w:rPr>
          <w:rFonts w:ascii="Times New Roman" w:hAnsi="Times New Roman"/>
          <w:sz w:val="24"/>
        </w:rPr>
        <w:t>periorbital</w:t>
      </w:r>
      <w:proofErr w:type="spellEnd"/>
      <w:r w:rsidRPr="006C537D">
        <w:rPr>
          <w:rFonts w:ascii="Times New Roman" w:hAnsi="Times New Roman"/>
          <w:sz w:val="24"/>
        </w:rPr>
        <w:t xml:space="preserve">, frontal,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nasal e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. Neste relato, apresentamos um caso de uma paciente do sexo feminino com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 de face, com hipótese diagnóstica inicial de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. Após acompanhamento clínico e exame anatomopatológico confirmou-se o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O tratamento proposto foi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com obtenção de sucesso terapêutico.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PALAVRAS-CHAVE: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, rosácea, </w:t>
      </w:r>
      <w:proofErr w:type="gramStart"/>
      <w:r w:rsidRPr="006C537D">
        <w:rPr>
          <w:rFonts w:ascii="Times New Roman" w:hAnsi="Times New Roman"/>
          <w:sz w:val="24"/>
        </w:rPr>
        <w:t>terapêutica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en-US"/>
        </w:rPr>
      </w:pPr>
      <w:r w:rsidRPr="006C537D">
        <w:rPr>
          <w:rFonts w:ascii="Times New Roman" w:hAnsi="Times New Roman"/>
          <w:sz w:val="24"/>
          <w:lang w:val="en-US"/>
        </w:rPr>
        <w:lastRenderedPageBreak/>
        <w:t>ABSTRACT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  <w:lang w:val="en-US"/>
        </w:rPr>
      </w:pP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is a rare entity, most common in the third or fourth decade of life. It mainly affects Caucasian adults with higher incidence in women. It is considered a form of rosacea which is also referred to as rosaceous lymphedema and solid persistent facial edema. The underlying pathogenic mechanisms are unclear.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Clinically characterized by persistent erythema and solid edema of the upper two-thirds of the face, particularly of the forehead, glabella, eyelids, nose and cheeks.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In this report, we present a case of a female patient with face lymphedema, with an initial hypothesis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Jessner's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Lymphocyte Syndrome. After clinical progression and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anatomopathological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examination the diagnosis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was confirmed. We report a case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that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were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successfully treated with oral doxycycline therapy.</w:t>
      </w:r>
    </w:p>
    <w:p w:rsidR="006C537D" w:rsidRPr="006C537D" w:rsidRDefault="00EE1DE6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KEYWORDS: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lymphedema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rosacea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therapy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INTRODUÇÃO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  <w:lang w:val="pt-PT"/>
        </w:rPr>
        <w:t xml:space="preserve">O termo doença de Morbihan é derivado da região francesa onde o primeiro paciente foi </w:t>
      </w:r>
      <w:proofErr w:type="gramStart"/>
      <w:r w:rsidRPr="006C537D">
        <w:rPr>
          <w:rFonts w:ascii="Times New Roman" w:hAnsi="Times New Roman"/>
          <w:sz w:val="24"/>
          <w:lang w:val="pt-PT"/>
        </w:rPr>
        <w:t>observado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3,</w:t>
      </w:r>
      <w:proofErr w:type="gramEnd"/>
      <w:r w:rsidRPr="006C537D">
        <w:rPr>
          <w:rFonts w:ascii="Times New Roman" w:hAnsi="Times New Roman"/>
          <w:sz w:val="24"/>
          <w:vertAlign w:val="superscript"/>
          <w:lang w:val="pt-PT"/>
        </w:rPr>
        <w:t>4</w:t>
      </w:r>
      <w:r w:rsidRPr="006C537D">
        <w:rPr>
          <w:rFonts w:ascii="Times New Roman" w:hAnsi="Times New Roman"/>
          <w:sz w:val="24"/>
          <w:lang w:val="pt-PT"/>
        </w:rPr>
        <w:t>.</w:t>
      </w:r>
      <w:r w:rsidRPr="006C537D">
        <w:rPr>
          <w:rFonts w:ascii="Times New Roman" w:hAnsi="Times New Roman"/>
          <w:sz w:val="24"/>
        </w:rPr>
        <w:t xml:space="preserve"> Porém a doença foi descrita pela primeira vez em 1957 por Robert Degos</w:t>
      </w:r>
      <w:r w:rsidRPr="006C537D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</w:rPr>
        <w:t xml:space="preserve">. Por apresentar diversos fatores </w:t>
      </w:r>
      <w:proofErr w:type="spellStart"/>
      <w:r w:rsidRPr="006C537D">
        <w:rPr>
          <w:rFonts w:ascii="Times New Roman" w:hAnsi="Times New Roman"/>
          <w:sz w:val="24"/>
        </w:rPr>
        <w:t>etiopatogênicos</w:t>
      </w:r>
      <w:proofErr w:type="spellEnd"/>
      <w:r w:rsidRPr="006C537D">
        <w:rPr>
          <w:rFonts w:ascii="Times New Roman" w:hAnsi="Times New Roman"/>
          <w:sz w:val="24"/>
        </w:rPr>
        <w:t xml:space="preserve">, o termo “Síndrome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” é mais aceito.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Veraldi</w:t>
      </w:r>
      <w:proofErr w:type="spellEnd"/>
      <w:r w:rsidRPr="006C537D">
        <w:rPr>
          <w:rFonts w:ascii="Times New Roman" w:hAnsi="Times New Roman"/>
          <w:sz w:val="24"/>
        </w:rPr>
        <w:t xml:space="preserve"> 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3</w:t>
      </w:r>
      <w:r w:rsidRPr="006C537D">
        <w:rPr>
          <w:rFonts w:ascii="Times New Roman" w:hAnsi="Times New Roman"/>
          <w:sz w:val="24"/>
        </w:rPr>
        <w:t xml:space="preserve">, 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afeta principalmente caucasianos adultos de ambos sexos, porém segundo a maioria dos autores é mais comum em mulheres</w:t>
      </w:r>
      <w:r w:rsidRPr="006C537D">
        <w:rPr>
          <w:rFonts w:ascii="Times New Roman" w:hAnsi="Times New Roman"/>
          <w:sz w:val="24"/>
          <w:vertAlign w:val="superscript"/>
        </w:rPr>
        <w:t>1,6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>A patogênese da síndrome não é bem elucidada. Parece consenso entre os autores tratar-se de uma variante da acne ou da rosácea.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Kou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et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al</w:t>
      </w:r>
      <w:r w:rsidRPr="006C537D">
        <w:rPr>
          <w:rFonts w:ascii="Times New Roman" w:hAnsi="Times New Roman"/>
          <w:sz w:val="24"/>
          <w:shd w:val="clear" w:color="auto" w:fill="FFFFFF"/>
          <w:vertAlign w:val="superscript"/>
        </w:rPr>
        <w:t>7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descreveram um caso de Síndrome de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associada ao Lúpus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Extrafacial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Miliar Disseminado e interrogaram se ambas manifestações dermatológicas apresentam mesmo mecanismo patogênico dentro do espectro da rosácea</w:t>
      </w:r>
      <w:r w:rsidRPr="006C537D">
        <w:rPr>
          <w:rFonts w:ascii="Times New Roman" w:hAnsi="Times New Roman"/>
          <w:sz w:val="24"/>
        </w:rPr>
        <w:t>. Para outros, a síndrome pode ser causada por anormalidades nos vasos linfáticos</w:t>
      </w:r>
      <w:r w:rsidRPr="006C537D">
        <w:rPr>
          <w:rFonts w:ascii="Times New Roman" w:hAnsi="Times New Roman"/>
          <w:sz w:val="24"/>
          <w:vertAlign w:val="superscript"/>
        </w:rPr>
        <w:t>8</w:t>
      </w:r>
      <w:r w:rsidRPr="006C537D">
        <w:rPr>
          <w:rFonts w:ascii="Times New Roman" w:hAnsi="Times New Roman"/>
          <w:sz w:val="24"/>
        </w:rPr>
        <w:t>, por obstrução ao fluxo linfático ou pela perda da integridade dos vasos linfáticos devido</w:t>
      </w:r>
      <w:r w:rsidRPr="006C537D">
        <w:rPr>
          <w:rFonts w:ascii="Times New Roman" w:hAnsi="Times New Roman"/>
          <w:sz w:val="24"/>
          <w:lang w:val="pt-PT"/>
        </w:rPr>
        <w:t xml:space="preserve"> à destruição da elastina em torno das paredes vasculares</w:t>
      </w:r>
      <w:r w:rsidRPr="006C537D">
        <w:rPr>
          <w:rFonts w:ascii="Times New Roman" w:hAnsi="Times New Roman"/>
          <w:sz w:val="24"/>
        </w:rPr>
        <w:t xml:space="preserve"> pelo processo inflamatório crônico com consequente transudação de fluidos e </w:t>
      </w:r>
      <w:proofErr w:type="spellStart"/>
      <w:proofErr w:type="gram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  <w:vertAlign w:val="superscript"/>
          <w:lang w:val="pt-PT"/>
        </w:rPr>
        <w:t>1,</w:t>
      </w:r>
      <w:proofErr w:type="gramEnd"/>
      <w:r w:rsidRPr="006C537D">
        <w:rPr>
          <w:rFonts w:ascii="Times New Roman" w:hAnsi="Times New Roman"/>
          <w:sz w:val="24"/>
          <w:vertAlign w:val="superscript"/>
          <w:lang w:val="pt-PT"/>
        </w:rPr>
        <w:t>9,10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Wohlrab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11</w:t>
      </w:r>
      <w:r w:rsidRPr="006C537D">
        <w:rPr>
          <w:rFonts w:ascii="Times New Roman" w:hAnsi="Times New Roman"/>
          <w:sz w:val="24"/>
        </w:rPr>
        <w:t xml:space="preserve"> relataram </w:t>
      </w:r>
      <w:r w:rsidRPr="006C537D">
        <w:rPr>
          <w:rFonts w:ascii="Times New Roman" w:hAnsi="Times New Roman"/>
          <w:sz w:val="24"/>
          <w:lang w:val="pt-PT"/>
        </w:rPr>
        <w:t xml:space="preserve">alteração na drenagem linfática de pacientes com Síndrome de Morbihan  através da ultrassonografia e da fluxometria laser Doppler. Suas descobertas sugerem a insuficiência vascular linfática como uma possível causa, porém não há como verificar se essa alteração ocorreu posteriormente a um quadro inflamatório, como na rosácea, ou de forma isolada.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 xml:space="preserve">Clinicamente, a síndrome é caracterizada por eritema e edema sólido insidiosos da porção superior da face, com acentuação na região frontal, nasal,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 e palpebral.  </w:t>
      </w:r>
      <w:proofErr w:type="spellStart"/>
      <w:r w:rsidRPr="006C537D">
        <w:rPr>
          <w:rFonts w:ascii="Times New Roman" w:hAnsi="Times New Roman"/>
          <w:sz w:val="24"/>
        </w:rPr>
        <w:t>Telangiectasias</w:t>
      </w:r>
      <w:proofErr w:type="spellEnd"/>
      <w:r w:rsidRPr="006C537D">
        <w:rPr>
          <w:rFonts w:ascii="Times New Roman" w:hAnsi="Times New Roman"/>
          <w:sz w:val="24"/>
        </w:rPr>
        <w:t>, flushing facial, pápulas, pústulas, e nódulos podem estar presentes</w:t>
      </w:r>
      <w:r w:rsidRPr="006C537D">
        <w:rPr>
          <w:rFonts w:ascii="Times New Roman" w:hAnsi="Times New Roman"/>
          <w:sz w:val="24"/>
          <w:vertAlign w:val="superscript"/>
        </w:rPr>
        <w:t>12, 13</w:t>
      </w:r>
      <w:r w:rsidRPr="006C537D">
        <w:rPr>
          <w:rFonts w:ascii="Times New Roman" w:hAnsi="Times New Roman"/>
          <w:sz w:val="24"/>
        </w:rPr>
        <w:t>. As alterações cutâneas persistem indefinidamente sem tendência a involução espontânea. Alterações tentem a ser inicialmente flutuantes e posteriormente tornam-se permanentes, causando edema e distorção do contorno da face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>, podendo ocorrer</w:t>
      </w:r>
      <w:r w:rsidRPr="006C537D">
        <w:rPr>
          <w:rFonts w:ascii="Times New Roman" w:hAnsi="Times New Roman"/>
          <w:sz w:val="24"/>
          <w:lang w:val="pt-PT"/>
        </w:rPr>
        <w:t xml:space="preserve"> subseqüente </w:t>
      </w:r>
      <w:r w:rsidRPr="006C537D">
        <w:rPr>
          <w:rFonts w:ascii="Times New Roman" w:hAnsi="Times New Roman"/>
          <w:sz w:val="24"/>
          <w:lang w:val="pt-PT"/>
        </w:rPr>
        <w:lastRenderedPageBreak/>
        <w:t>estreitamento do campo visual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11, 15</w:t>
      </w:r>
      <w:r w:rsidRPr="006C537D">
        <w:rPr>
          <w:rFonts w:ascii="Times New Roman" w:hAnsi="Times New Roman"/>
          <w:sz w:val="24"/>
          <w:lang w:val="pt-PT"/>
        </w:rPr>
        <w:t>.  Blefarite e conjuntivite são as apresentações oculares mais comuns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16</w:t>
      </w:r>
      <w:r w:rsidRPr="006C537D">
        <w:rPr>
          <w:rFonts w:ascii="Times New Roman" w:hAnsi="Times New Roman"/>
          <w:sz w:val="24"/>
          <w:lang w:val="pt-PT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Alterações laboratoriais são inespecíficas ou não encontradas, </w:t>
      </w:r>
      <w:proofErr w:type="spellStart"/>
      <w:r w:rsidRPr="006C537D">
        <w:rPr>
          <w:rFonts w:ascii="Times New Roman" w:hAnsi="Times New Roman"/>
          <w:sz w:val="24"/>
        </w:rPr>
        <w:t>histopatologia</w:t>
      </w:r>
      <w:proofErr w:type="spellEnd"/>
      <w:r w:rsidRPr="006C537D">
        <w:rPr>
          <w:rFonts w:ascii="Times New Roman" w:hAnsi="Times New Roman"/>
          <w:sz w:val="24"/>
        </w:rPr>
        <w:t xml:space="preserve"> e colorações específicas são importantes para afastar outras condições, como a metástase </w:t>
      </w:r>
      <w:proofErr w:type="spellStart"/>
      <w:r w:rsidRPr="006C537D">
        <w:rPr>
          <w:rFonts w:ascii="Times New Roman" w:hAnsi="Times New Roman"/>
          <w:sz w:val="24"/>
        </w:rPr>
        <w:t>periorbitária</w:t>
      </w:r>
      <w:proofErr w:type="spellEnd"/>
      <w:r w:rsidRPr="006C537D">
        <w:rPr>
          <w:rFonts w:ascii="Times New Roman" w:hAnsi="Times New Roman"/>
          <w:sz w:val="24"/>
        </w:rPr>
        <w:t xml:space="preserve">, um importante diagnóstico diferencial. Outros diagnósticos diferenciais incluem </w:t>
      </w:r>
      <w:proofErr w:type="spellStart"/>
      <w:r w:rsidRPr="006C537D">
        <w:rPr>
          <w:rFonts w:ascii="Times New Roman" w:hAnsi="Times New Roman"/>
          <w:sz w:val="24"/>
        </w:rPr>
        <w:t>granulomatose</w:t>
      </w:r>
      <w:proofErr w:type="spellEnd"/>
      <w:r w:rsidRPr="006C537D">
        <w:rPr>
          <w:rFonts w:ascii="Times New Roman" w:hAnsi="Times New Roman"/>
          <w:sz w:val="24"/>
        </w:rPr>
        <w:t xml:space="preserve"> orofacial, sarcoidose, hanseníase, LES, leishmaniose cutânea, granuloma de corpo estranho, granuloma facial, síndrome da veia cava superior, </w:t>
      </w:r>
      <w:proofErr w:type="spellStart"/>
      <w:r w:rsidRPr="006C537D">
        <w:rPr>
          <w:rFonts w:ascii="Times New Roman" w:hAnsi="Times New Roman"/>
          <w:sz w:val="24"/>
        </w:rPr>
        <w:t>escleredema</w:t>
      </w:r>
      <w:proofErr w:type="spellEnd"/>
      <w:r w:rsidRPr="006C537D">
        <w:rPr>
          <w:rFonts w:ascii="Times New Roman" w:hAnsi="Times New Roman"/>
          <w:sz w:val="24"/>
        </w:rPr>
        <w:t xml:space="preserve"> de </w:t>
      </w:r>
      <w:proofErr w:type="spellStart"/>
      <w:r w:rsidRPr="006C537D">
        <w:rPr>
          <w:rFonts w:ascii="Times New Roman" w:hAnsi="Times New Roman"/>
          <w:sz w:val="24"/>
        </w:rPr>
        <w:t>Buschke</w:t>
      </w:r>
      <w:proofErr w:type="spellEnd"/>
      <w:r w:rsidRPr="006C537D">
        <w:rPr>
          <w:rFonts w:ascii="Times New Roman" w:hAnsi="Times New Roman"/>
          <w:sz w:val="24"/>
        </w:rPr>
        <w:t xml:space="preserve"> 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 como no presente caso.  Além disso, barbitúricos, </w:t>
      </w:r>
      <w:proofErr w:type="spellStart"/>
      <w:r w:rsidRPr="006C537D">
        <w:rPr>
          <w:rFonts w:ascii="Times New Roman" w:hAnsi="Times New Roman"/>
          <w:sz w:val="24"/>
        </w:rPr>
        <w:t>Clorpromazina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Diltiazem</w:t>
      </w:r>
      <w:proofErr w:type="spellEnd"/>
      <w:r w:rsidRPr="006C537D">
        <w:rPr>
          <w:rFonts w:ascii="Times New Roman" w:hAnsi="Times New Roman"/>
          <w:sz w:val="24"/>
        </w:rPr>
        <w:t xml:space="preserve"> e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podem causar manifestações similares a Síndrome de Morbihan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Diversas opções de tratamento são sugeridas utilizando drogas sistêmicas geralmente com doses altas e por períodos prolongados. Porém nem todo paciente responde ao tratamento proposto.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objetivo deste estudo é demonstrar uma paciente com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s</w:t>
      </w:r>
      <w:r w:rsidRPr="006C537D">
        <w:rPr>
          <w:rFonts w:ascii="Times New Roman" w:hAnsi="Times New Roman"/>
          <w:sz w:val="24"/>
          <w:lang w:val="pt-PT"/>
        </w:rPr>
        <w:t xml:space="preserve">em história prévia de rosácea </w:t>
      </w:r>
      <w:r w:rsidRPr="006C537D">
        <w:rPr>
          <w:rFonts w:ascii="Times New Roman" w:hAnsi="Times New Roman"/>
          <w:sz w:val="24"/>
        </w:rPr>
        <w:t xml:space="preserve">que apresentou resposta significativa com uso de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oral.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>RELATO DE CASO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 xml:space="preserve">Paciente do sexo feminino, 28 anos, procedente de Campinas, sem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comorbidades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prévias, procurou o ambulatório de Dermatologia apresentando eritema e edema endurecido nas regiões malares e na fronte (figuras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1,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2,3). Apresentava cefaleia acompanhando o quadro cutâneo. Ao exame dermatológico apresentava placa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eritematoedematosa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lisa e endurecida no terço superior da face. O exame anatomopatológico evidenciou infiltrado perivascular linfocitário 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grandes células e células de tamanho intermediário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imunohistoquímica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positiva para marcadores linfocitários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imunofenótipos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B e T, de padrão politípico reacional. No primeiro momento foi aventada hipótese de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Linfocítico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lastRenderedPageBreak/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iniciado tratamento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Hidroxicloroquina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400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Prednisona 10 mg empiricamente . Devido a não melhora com o tratamento proposto e a evolução com flutuação do quadro clínico, foi optada pela realização de um novo exame histopatológico que evidenciou um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perivascular, por vezes atingindo o complexo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pilossebáceo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além da presença de fibrose em diferentes áreas da derme adjacente ao componente inflamatório descrito. Os achados excluíram a hipótese de Síndrome Linfocitária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. Devido quadro clínico, evolução e anatomopatológico compatíveis foi confirmada a hipótese de Síndrome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Morbihan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introduzida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Doxiciclina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100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12/12 horas com remissão completa do quadro clinico após 30 dias de tratamento. (figura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4,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>5,6).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DISCUSSÃO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caracterizada pelo desenvolvimento de edema endurecido principalmente nos dois terços superiores da face. A doença usualmente ocorre na terceira ou quarta décadas de vida</w:t>
      </w:r>
      <w:r w:rsidRPr="006C537D">
        <w:rPr>
          <w:rFonts w:ascii="Times New Roman" w:hAnsi="Times New Roman"/>
          <w:sz w:val="24"/>
          <w:vertAlign w:val="superscript"/>
        </w:rPr>
        <w:t>6</w:t>
      </w:r>
      <w:r w:rsidRPr="006C537D">
        <w:rPr>
          <w:rFonts w:ascii="Times New Roman" w:hAnsi="Times New Roman"/>
          <w:sz w:val="24"/>
        </w:rPr>
        <w:t xml:space="preserve">. Nosso caso trata-se de uma mulher de 28 anos com diagnóstico clinico patológico sugestivo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anatomopatológico, embora inespecífico, é caracterizado por edema perivascular e infiltrado </w:t>
      </w:r>
      <w:proofErr w:type="spellStart"/>
      <w:r w:rsidRPr="006C537D">
        <w:rPr>
          <w:rFonts w:ascii="Times New Roman" w:hAnsi="Times New Roman"/>
          <w:sz w:val="24"/>
        </w:rPr>
        <w:t>linfohistiocitário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contendo numerosos mastócitos e dilatação dos vasos linfáticos. Granulomas </w:t>
      </w:r>
      <w:proofErr w:type="spellStart"/>
      <w:r w:rsidRPr="006C537D">
        <w:rPr>
          <w:rFonts w:ascii="Times New Roman" w:hAnsi="Times New Roman"/>
          <w:sz w:val="24"/>
        </w:rPr>
        <w:t>linfohistiocitários</w:t>
      </w:r>
      <w:proofErr w:type="spellEnd"/>
      <w:r w:rsidRPr="006C537D">
        <w:rPr>
          <w:rFonts w:ascii="Times New Roman" w:hAnsi="Times New Roman"/>
          <w:sz w:val="24"/>
        </w:rPr>
        <w:t xml:space="preserve"> com distribuição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podem ser encontrados e hiperplasia da glândula sebácea pode ser observada em pacientes que tem ou tiveram rosácea. 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As características histopatológicas do linfedema persistente só foram </w:t>
      </w:r>
      <w:proofErr w:type="gramStart"/>
      <w:r w:rsidRPr="006C537D">
        <w:rPr>
          <w:rFonts w:ascii="Times New Roman" w:eastAsia="Times New Roman" w:hAnsi="Times New Roman"/>
          <w:sz w:val="24"/>
          <w:lang w:val="pt-PT" w:eastAsia="pt-BR"/>
        </w:rPr>
        <w:t>documentadas em alguns relatos de casos, que incluem fibrose perifolicular e infiltrado perivascular</w:t>
      </w:r>
      <w:proofErr w:type="gramEnd"/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 e perifolicular de linfócitos, histiocitos e neutrófilos </w:t>
      </w:r>
      <w:r w:rsidRPr="006C537D">
        <w:rPr>
          <w:rFonts w:ascii="Times New Roman" w:hAnsi="Times New Roman"/>
          <w:sz w:val="24"/>
          <w:shd w:val="clear" w:color="auto" w:fill="F9FCFE"/>
        </w:rPr>
        <w:t>em terreno edematoso</w:t>
      </w:r>
      <w:r w:rsidRPr="006C537D">
        <w:rPr>
          <w:rFonts w:ascii="Times New Roman" w:eastAsia="Times New Roman" w:hAnsi="Times New Roman"/>
          <w:sz w:val="24"/>
          <w:vertAlign w:val="superscript"/>
          <w:lang w:val="pt-PT" w:eastAsia="pt-BR"/>
        </w:rPr>
        <w:t>16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descreve ácaros </w:t>
      </w:r>
      <w:proofErr w:type="spellStart"/>
      <w:r w:rsidRPr="006C537D">
        <w:rPr>
          <w:rFonts w:ascii="Times New Roman" w:hAnsi="Times New Roman"/>
          <w:sz w:val="24"/>
        </w:rPr>
        <w:t>Demodex</w:t>
      </w:r>
      <w:proofErr w:type="spellEnd"/>
      <w:r w:rsidRPr="006C537D">
        <w:rPr>
          <w:rFonts w:ascii="Times New Roman" w:hAnsi="Times New Roman"/>
          <w:sz w:val="24"/>
        </w:rPr>
        <w:t xml:space="preserve"> nas aberturas foliculares.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tratamento é desafiador e as evidências limitadas. Não há diretrizes para o tratamento da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As terapêuticas mais comumente adotadas incluem uso de </w:t>
      </w:r>
      <w:r w:rsidRPr="006C537D">
        <w:rPr>
          <w:rFonts w:ascii="Times New Roman" w:hAnsi="Times New Roman"/>
          <w:sz w:val="24"/>
        </w:rPr>
        <w:lastRenderedPageBreak/>
        <w:t xml:space="preserve">antibióticos e drenagem linfática da face. Várias drogas sistêmicas vêm sendo utilizadas incluindo Talidomida, </w:t>
      </w:r>
      <w:proofErr w:type="spellStart"/>
      <w:r w:rsidRPr="006C537D">
        <w:rPr>
          <w:rFonts w:ascii="Times New Roman" w:hAnsi="Times New Roman"/>
          <w:sz w:val="24"/>
        </w:rPr>
        <w:t>Clofazimina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Interferon</w:t>
      </w:r>
      <w:proofErr w:type="spellEnd"/>
      <w:r w:rsidRPr="006C537D">
        <w:rPr>
          <w:rFonts w:ascii="Times New Roman" w:hAnsi="Times New Roman"/>
          <w:sz w:val="24"/>
        </w:rPr>
        <w:t xml:space="preserve"> Gama, anti-histamínicos, Prednisona, </w:t>
      </w:r>
      <w:proofErr w:type="spellStart"/>
      <w:r w:rsidRPr="006C537D">
        <w:rPr>
          <w:rFonts w:ascii="Times New Roman" w:hAnsi="Times New Roman"/>
          <w:sz w:val="24"/>
        </w:rPr>
        <w:t>Metronidazol</w:t>
      </w:r>
      <w:proofErr w:type="spellEnd"/>
      <w:r w:rsidRPr="006C537D">
        <w:rPr>
          <w:rFonts w:ascii="Times New Roman" w:hAnsi="Times New Roman"/>
          <w:sz w:val="24"/>
        </w:rPr>
        <w:t xml:space="preserve">, Tetraciclinas, </w:t>
      </w:r>
      <w:proofErr w:type="spellStart"/>
      <w:r w:rsidRPr="006C537D">
        <w:rPr>
          <w:rFonts w:ascii="Times New Roman" w:hAnsi="Times New Roman"/>
          <w:sz w:val="24"/>
        </w:rPr>
        <w:t>Quinolonas</w:t>
      </w:r>
      <w:proofErr w:type="spellEnd"/>
      <w:r w:rsidRPr="006C537D">
        <w:rPr>
          <w:rFonts w:ascii="Times New Roman" w:hAnsi="Times New Roman"/>
          <w:sz w:val="24"/>
        </w:rPr>
        <w:t xml:space="preserve"> como o Fleroxacino</w:t>
      </w:r>
      <w:r w:rsidRPr="006C537D">
        <w:rPr>
          <w:rFonts w:ascii="Times New Roman" w:hAnsi="Times New Roman"/>
          <w:sz w:val="24"/>
          <w:vertAlign w:val="superscript"/>
        </w:rPr>
        <w:t>18</w:t>
      </w:r>
      <w:r w:rsidRPr="006C537D">
        <w:rPr>
          <w:rFonts w:ascii="Times New Roman" w:hAnsi="Times New Roman"/>
          <w:sz w:val="24"/>
        </w:rPr>
        <w:t xml:space="preserve"> e esteroides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No entanto, resultados mais promissores foram observados com 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que foi inicialmente descrita por </w:t>
      </w:r>
      <w:proofErr w:type="spellStart"/>
      <w:r w:rsidRPr="006C537D">
        <w:rPr>
          <w:rFonts w:ascii="Times New Roman" w:hAnsi="Times New Roman"/>
          <w:sz w:val="24"/>
        </w:rPr>
        <w:t>Jansen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and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Plewig</w:t>
      </w:r>
      <w:proofErr w:type="spellEnd"/>
      <w:r w:rsidRPr="006C537D">
        <w:rPr>
          <w:rFonts w:ascii="Times New Roman" w:hAnsi="Times New Roman"/>
          <w:sz w:val="24"/>
          <w:vertAlign w:val="superscript"/>
        </w:rPr>
        <w:t xml:space="preserve"> </w:t>
      </w:r>
      <w:r w:rsidRPr="006C537D">
        <w:rPr>
          <w:rFonts w:ascii="Times New Roman" w:hAnsi="Times New Roman"/>
          <w:sz w:val="24"/>
        </w:rPr>
        <w:t>em 1997</w:t>
      </w:r>
      <w:r w:rsidRPr="006C537D">
        <w:rPr>
          <w:rFonts w:ascii="Times New Roman" w:hAnsi="Times New Roman"/>
          <w:sz w:val="24"/>
          <w:vertAlign w:val="superscript"/>
        </w:rPr>
        <w:t>19</w:t>
      </w:r>
      <w:r w:rsidRPr="006C537D">
        <w:rPr>
          <w:rFonts w:ascii="Times New Roman" w:hAnsi="Times New Roman"/>
          <w:sz w:val="24"/>
        </w:rPr>
        <w:t xml:space="preserve">. A dose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na literatura varia de 10 a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  <w:r w:rsidRPr="006C537D">
        <w:rPr>
          <w:rFonts w:ascii="Times New Roman" w:hAnsi="Times New Roman"/>
          <w:sz w:val="24"/>
          <w:vertAlign w:val="superscript"/>
        </w:rPr>
        <w:t xml:space="preserve">19,20,21,22 </w:t>
      </w:r>
      <w:r w:rsidRPr="006C537D">
        <w:rPr>
          <w:rFonts w:ascii="Times New Roman" w:hAnsi="Times New Roman"/>
          <w:sz w:val="24"/>
        </w:rPr>
        <w:t>ou  de 0.1 a 0.2 mg/kg/dia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  por 3 – 24 semanas</w:t>
      </w:r>
      <w:r w:rsidRPr="006C537D">
        <w:rPr>
          <w:rFonts w:ascii="Times New Roman" w:hAnsi="Times New Roman"/>
          <w:sz w:val="24"/>
          <w:vertAlign w:val="superscript"/>
        </w:rPr>
        <w:t xml:space="preserve">1,19 </w:t>
      </w:r>
      <w:r w:rsidRPr="006C537D">
        <w:rPr>
          <w:rFonts w:ascii="Times New Roman" w:hAnsi="Times New Roman"/>
          <w:sz w:val="24"/>
        </w:rPr>
        <w:t xml:space="preserve">em combinação com o </w:t>
      </w:r>
      <w:proofErr w:type="spellStart"/>
      <w:r w:rsidRPr="006C537D">
        <w:rPr>
          <w:rFonts w:ascii="Times New Roman" w:hAnsi="Times New Roman"/>
          <w:sz w:val="24"/>
        </w:rPr>
        <w:t>Cetotifeno</w:t>
      </w:r>
      <w:proofErr w:type="spellEnd"/>
      <w:r w:rsidRPr="006C537D">
        <w:rPr>
          <w:rFonts w:ascii="Times New Roman" w:hAnsi="Times New Roman"/>
          <w:sz w:val="24"/>
        </w:rPr>
        <w:t xml:space="preserve"> (1-2 mg 12/12h) que interfere diretamente na </w:t>
      </w:r>
      <w:proofErr w:type="spellStart"/>
      <w:r w:rsidRPr="006C537D">
        <w:rPr>
          <w:rFonts w:ascii="Times New Roman" w:hAnsi="Times New Roman"/>
          <w:sz w:val="24"/>
        </w:rPr>
        <w:t>degranulação</w:t>
      </w:r>
      <w:proofErr w:type="spellEnd"/>
      <w:r w:rsidRPr="006C537D">
        <w:rPr>
          <w:rFonts w:ascii="Times New Roman" w:hAnsi="Times New Roman"/>
          <w:sz w:val="24"/>
        </w:rPr>
        <w:t xml:space="preserve"> dos mastócitos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 xml:space="preserve">  ou com a Clofazimina</w:t>
      </w:r>
      <w:r w:rsidRPr="006C537D">
        <w:rPr>
          <w:rFonts w:ascii="Times New Roman" w:hAnsi="Times New Roman"/>
          <w:sz w:val="24"/>
          <w:vertAlign w:val="superscript"/>
        </w:rPr>
        <w:t xml:space="preserve">23, 24 </w:t>
      </w:r>
      <w:r w:rsidRPr="006C537D">
        <w:rPr>
          <w:rFonts w:ascii="Times New Roman" w:hAnsi="Times New Roman"/>
          <w:sz w:val="24"/>
        </w:rPr>
        <w:t xml:space="preserve">. Porém, segundo a literatura 15-20%, dos pacientes que utilizam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não apresentam boa resposta</w:t>
      </w:r>
      <w:r w:rsidRPr="006C537D">
        <w:rPr>
          <w:rFonts w:ascii="Times New Roman" w:hAnsi="Times New Roman"/>
          <w:sz w:val="24"/>
          <w:vertAlign w:val="superscript"/>
        </w:rPr>
        <w:t>3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Carruth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 relata terapia com agentes biológicos como uma terapêutica promissora futura</w:t>
      </w:r>
      <w:r w:rsidRPr="006C537D">
        <w:rPr>
          <w:rFonts w:ascii="Times New Roman" w:hAnsi="Times New Roman"/>
          <w:sz w:val="24"/>
          <w:vertAlign w:val="superscript"/>
        </w:rPr>
        <w:t>25</w:t>
      </w:r>
      <w:r w:rsidRPr="006C537D">
        <w:rPr>
          <w:rFonts w:ascii="Times New Roman" w:hAnsi="Times New Roman"/>
          <w:sz w:val="24"/>
        </w:rPr>
        <w:t xml:space="preserve">. 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Exérese de tecido redundante pode ser uma alternativa e um grupo de pacientes relatou bons resultados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cosméticos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com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blefaroplastia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por laser de CO2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Em 2015 </w:t>
      </w:r>
      <w:proofErr w:type="spellStart"/>
      <w:r w:rsidRPr="006C537D">
        <w:rPr>
          <w:rFonts w:ascii="Times New Roman" w:hAnsi="Times New Roman"/>
          <w:sz w:val="24"/>
        </w:rPr>
        <w:t>Fujimoto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24</w:t>
      </w:r>
      <w:r w:rsidRPr="006C537D">
        <w:rPr>
          <w:rFonts w:ascii="Times New Roman" w:hAnsi="Times New Roman"/>
          <w:sz w:val="24"/>
        </w:rPr>
        <w:t xml:space="preserve"> descreveu o primeiro caso da literatura inglesa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tratado com tetraciclina e a partir de então outros estudos também evidenciaram bons resultados com esta classe de antibióticos. No caso relatado por Fujimoto</w:t>
      </w:r>
      <w:r w:rsidRPr="006C537D">
        <w:rPr>
          <w:rFonts w:ascii="Times New Roman" w:hAnsi="Times New Roman"/>
          <w:sz w:val="24"/>
          <w:vertAlign w:val="superscript"/>
        </w:rPr>
        <w:t>24</w:t>
      </w:r>
      <w:r w:rsidRPr="006C537D">
        <w:rPr>
          <w:rFonts w:ascii="Times New Roman" w:hAnsi="Times New Roman"/>
          <w:sz w:val="24"/>
        </w:rPr>
        <w:t xml:space="preserve">, inicialmente administrou-se </w:t>
      </w:r>
      <w:proofErr w:type="spellStart"/>
      <w:r w:rsidRPr="006C537D">
        <w:rPr>
          <w:rFonts w:ascii="Times New Roman" w:hAnsi="Times New Roman"/>
          <w:sz w:val="24"/>
        </w:rPr>
        <w:t>Betametasona</w:t>
      </w:r>
      <w:proofErr w:type="spellEnd"/>
      <w:r w:rsidRPr="006C537D">
        <w:rPr>
          <w:rFonts w:ascii="Times New Roman" w:hAnsi="Times New Roman"/>
          <w:sz w:val="24"/>
        </w:rPr>
        <w:t xml:space="preserve"> oral por uma semana com agravamento do quadro clínico sendo então suspenso o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e introduzido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 por 4 semanas. Devido melhora apenas parcial a dosagem 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foi dobrada com desaparecimento do edema e do eritema faciais após </w:t>
      </w:r>
      <w:proofErr w:type="gramStart"/>
      <w:r w:rsidRPr="006C537D">
        <w:rPr>
          <w:rFonts w:ascii="Times New Roman" w:hAnsi="Times New Roman"/>
          <w:sz w:val="24"/>
        </w:rPr>
        <w:t>4</w:t>
      </w:r>
      <w:proofErr w:type="gramEnd"/>
      <w:r w:rsidRPr="006C537D">
        <w:rPr>
          <w:rFonts w:ascii="Times New Roman" w:hAnsi="Times New Roman"/>
          <w:sz w:val="24"/>
        </w:rPr>
        <w:t xml:space="preserve"> semanas de tratamento. Não houve recidiva do quadro nos </w:t>
      </w:r>
      <w:proofErr w:type="gramStart"/>
      <w:r w:rsidRPr="006C537D">
        <w:rPr>
          <w:rFonts w:ascii="Times New Roman" w:hAnsi="Times New Roman"/>
          <w:sz w:val="24"/>
        </w:rPr>
        <w:t>8</w:t>
      </w:r>
      <w:proofErr w:type="gramEnd"/>
      <w:r w:rsidRPr="006C537D">
        <w:rPr>
          <w:rFonts w:ascii="Times New Roman" w:hAnsi="Times New Roman"/>
          <w:sz w:val="24"/>
        </w:rPr>
        <w:t xml:space="preserve"> meses seguintes ao tratamento. Neste artigo especula-se que o uso prolongado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oral ou tetraciclinas seja eficaz apenas nos casos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com infiltração abundante de mastócitos. 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27</w:t>
      </w:r>
      <w:r w:rsidRPr="006C537D">
        <w:rPr>
          <w:rFonts w:ascii="Times New Roman" w:hAnsi="Times New Roman"/>
          <w:sz w:val="24"/>
        </w:rPr>
        <w:t>concluiram que mais pesquisas são necessárias para compreender o mecanismo de ação das tetraciclinas nesta síndrome.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lastRenderedPageBreak/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mg/dia por dois meses com melhora clínica do paciente, com posterior dose de manutenção por 6 meses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40 mg/dia. Após 51 meses da finalização do tratamento paciente mantinha remissão completa do quadro.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t>Ranu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16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100 mg 12/12h durante 6 semanas com melhora do eritema, porém com persistência do edema. Devido queixa de visão turva optou-se pela adição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/dia. Após o uso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por 2 semanas com posterior desmame para 10 mg por mais 1 semana, o edema e o eritema diminuíram notavelmente. Após </w:t>
      </w:r>
      <w:proofErr w:type="gramStart"/>
      <w:r w:rsidRPr="006C537D">
        <w:rPr>
          <w:rFonts w:ascii="Times New Roman" w:hAnsi="Times New Roman"/>
          <w:sz w:val="24"/>
        </w:rPr>
        <w:t>2</w:t>
      </w:r>
      <w:proofErr w:type="gramEnd"/>
      <w:r w:rsidRPr="006C537D">
        <w:rPr>
          <w:rFonts w:ascii="Times New Roman" w:hAnsi="Times New Roman"/>
          <w:sz w:val="24"/>
        </w:rPr>
        <w:t xml:space="preserve"> semanas de uso da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e 12 semanas de uso da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>, o paciente apresentou melhora completa do quadro clínico.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2E1D69">
        <w:rPr>
          <w:rFonts w:ascii="Times New Roman" w:hAnsi="Times New Roman"/>
          <w:sz w:val="24"/>
          <w:vertAlign w:val="superscript"/>
        </w:rPr>
        <w:t>26</w:t>
      </w:r>
      <w:r w:rsidRPr="006C537D">
        <w:rPr>
          <w:rFonts w:ascii="Times New Roman" w:hAnsi="Times New Roman"/>
          <w:sz w:val="24"/>
        </w:rPr>
        <w:t xml:space="preserve"> descreveram quatro casos clínicos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Em dois casos iniciaram-se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e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intralesional</w:t>
      </w:r>
      <w:proofErr w:type="spellEnd"/>
      <w:r w:rsidRPr="006C537D">
        <w:rPr>
          <w:rFonts w:ascii="Times New Roman" w:hAnsi="Times New Roman"/>
          <w:sz w:val="24"/>
        </w:rPr>
        <w:t xml:space="preserve"> sem sucesso. Em um paciente foi iniciada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, porém devido </w:t>
      </w:r>
      <w:proofErr w:type="gramStart"/>
      <w:r w:rsidRPr="006C537D">
        <w:rPr>
          <w:rFonts w:ascii="Times New Roman" w:hAnsi="Times New Roman"/>
          <w:sz w:val="24"/>
        </w:rPr>
        <w:t>a</w:t>
      </w:r>
      <w:proofErr w:type="gramEnd"/>
      <w:r w:rsidRPr="006C537D">
        <w:rPr>
          <w:rFonts w:ascii="Times New Roman" w:hAnsi="Times New Roman"/>
          <w:sz w:val="24"/>
        </w:rPr>
        <w:t xml:space="preserve"> disfunção hepática optou-se pela mudança para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pelo seu perfil mais brando de toxicidade hepática e renal e superioridade farmacocinética em relação à absorção da droga. Os quatro casos tiveram bons resultados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>/dia. A duração dos tratamentos variou de 5 a 12 meses e nenhum dos casos apresentou recorrência após descontinuação da medicação.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Carney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2E1D69">
        <w:rPr>
          <w:rFonts w:ascii="Times New Roman" w:hAnsi="Times New Roman"/>
          <w:sz w:val="24"/>
          <w:vertAlign w:val="superscript"/>
        </w:rPr>
        <w:t>27</w:t>
      </w:r>
      <w:r w:rsidRPr="006C537D">
        <w:rPr>
          <w:rFonts w:ascii="Times New Roman" w:hAnsi="Times New Roman"/>
          <w:sz w:val="24"/>
        </w:rPr>
        <w:t xml:space="preserve">, o uso de corticosteroides sistêmicos não foi satisfatório: 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50 mg / dia por um mês foi ineficaz ,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mg / dia (duração não disponível) mostrou apenas efeito transitório e um curso curto de </w:t>
      </w:r>
      <w:proofErr w:type="spellStart"/>
      <w:r w:rsidRPr="006C537D">
        <w:rPr>
          <w:rFonts w:ascii="Times New Roman" w:hAnsi="Times New Roman"/>
          <w:sz w:val="24"/>
        </w:rPr>
        <w:t>corticosteróide</w:t>
      </w:r>
      <w:proofErr w:type="spellEnd"/>
      <w:r w:rsidRPr="006C537D">
        <w:rPr>
          <w:rFonts w:ascii="Times New Roman" w:hAnsi="Times New Roman"/>
          <w:sz w:val="24"/>
        </w:rPr>
        <w:t xml:space="preserve"> não forneceu nenhuma melhoria.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No nosso caso optamos pela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de tetraciclina ao invés da associação com corticoide. 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foi escolhida no nosso caso em detrimento de outras tetraciclinas devido facilidade de acesso à droga na Unidade Básica de Saúde do Sistema Único de Saúde </w:t>
      </w:r>
      <w:r w:rsidRPr="006C537D">
        <w:rPr>
          <w:rFonts w:ascii="Times New Roman" w:hAnsi="Times New Roman"/>
          <w:sz w:val="24"/>
        </w:rPr>
        <w:lastRenderedPageBreak/>
        <w:t xml:space="preserve">brasileiro. Paciente permanece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baixas doses para estabilidade do quadro cutâneo.</w:t>
      </w:r>
    </w:p>
    <w:p w:rsidR="00FD7C1B" w:rsidRPr="00271D46" w:rsidRDefault="00222803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222803" w:rsidRPr="00271D46" w:rsidRDefault="00FD7C1B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Vasconcelos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RCF,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NT,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RT, Moriya FS,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Braga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BB,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Michalany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AO.</w:t>
      </w:r>
      <w:r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syndrome: a case report and literature revie</w:t>
      </w:r>
      <w:r w:rsidR="00EB2F89"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w</w:t>
      </w:r>
      <w:r w:rsidR="00EB2F8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1" w:history="1">
        <w:proofErr w:type="gram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An</w:t>
        </w:r>
        <w:proofErr w:type="gramEnd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 xml:space="preserve"> Bras </w:t>
        </w:r>
        <w:proofErr w:type="spell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Dermatol</w:t>
        </w:r>
        <w:proofErr w:type="spellEnd"/>
      </w:hyperlink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2016 Sep-Oct; 91(5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Suppl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1): 157–159.</w:t>
      </w:r>
    </w:p>
    <w:p w:rsidR="00FD7C1B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Nagasaka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T, Koyama T, Matsumura K, Chen KR. Persistent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formation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perilymphatic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epithelioid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cell granulomas as a possible pathogenesis.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2008; 33: 764–767.</w:t>
      </w:r>
    </w:p>
    <w:p w:rsidR="00073428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Veraldi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S, Persico MC, Francia C.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Online J 2013; 4: 122–124.</w:t>
      </w:r>
    </w:p>
    <w:p w:rsidR="00531B36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Degos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Civatte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Beuve-Méry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M. Nouveau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oedème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érythémateux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chronique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Bull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Syph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1973; 80: 257.</w:t>
      </w:r>
    </w:p>
    <w:p w:rsidR="00531B36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Gorin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Gaitz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Chevrier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Lessana-Leibowitch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Fortier 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Escande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JP.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Maladie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du</w:t>
      </w:r>
      <w:proofErr w:type="spellEnd"/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Essais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therapeutiques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Deuxième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présentation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. Paris: Abstract.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Journées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Dermatologiques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Paris. 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1991;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111</w:t>
      </w:r>
      <w:r w:rsidR="00F22B7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531B36" w:rsidRPr="00271D46" w:rsidRDefault="00531B36" w:rsidP="00A90C48">
      <w:pPr>
        <w:pStyle w:val="PargrafodaLista"/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786DA9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Marks R. Rook A,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Ebling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FJG, Wilkinson DS, Champion RH.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Rosacea flushing and perioral </w:t>
      </w:r>
      <w:proofErr w:type="spellStart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dermatites</w:t>
      </w:r>
      <w:proofErr w:type="spellEnd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Rook's Textbook of</w:t>
      </w:r>
      <w:r w:rsidR="00F22B7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Dermatology. 5th ed. London: Blackwell Scientific Publications; 1992. </w:t>
      </w:r>
    </w:p>
    <w:p w:rsidR="00943E0D" w:rsidRPr="00271D46" w:rsidRDefault="00943E0D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Kou K, Chin K, Matsukura S, Sasaki T, Nozawa A, Aihara M, Kambarab T. Morbihan disease and extrafacial lupus miliaris disseminatus faceie: a case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report .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</w:rPr>
        <w:t xml:space="preserve">Ann Saudi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2014; 34(4): 351-353.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Jungfer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Jansen T,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Przybilla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Plewig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G. Solid persistent facial edema of acne: Successful treatment with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isotretinoin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ketotifen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Dermatology. 1993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;187:34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–37. 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>Rebora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A. Rosacea (review). J Invest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1987: 88: 56s–60s.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Wilkins JK. Rosacea. Pathophysiology and treatment. Arch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1994: 130: 359–362.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Wohlrab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Lueftl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Marsch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WC. Persistent erythema and edema of the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midthird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upper aspect of the face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morbus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): evidence of hidden immunologic contact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urticaria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impaired lymphatic drainage.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J Am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Acad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2005;52(4):595-602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Scerri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L,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Saihan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EM. Persistent facial swelling in a patient with rosacea. Rosacea lymphedema. Arch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1995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;131:1071,1074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Reinholz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Tietze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JK,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Kilian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K, Schaller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Schöfer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H, Lehmann 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Zierhut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et al. Rosacea - S1 guideline. J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Dtsch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2013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;11:768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-80;768-79.</w:t>
      </w:r>
    </w:p>
    <w:p w:rsidR="006D7AD4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Hu SW, Robinson M, Meehan SA, Cohen DE.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disease.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Online J. 2012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;18:27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–27.</w:t>
      </w:r>
      <w:r w:rsidR="006D7AD4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AD4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Morales-Burgos A, Alvarez Del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Manzano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> G, Sánchez JL, Cruz CL. 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Persistent eyelid swelling in a patient with rosacea.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P R Health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Sci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2009;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28(1):80-82. </w:t>
      </w:r>
    </w:p>
    <w:p w:rsidR="00FC19CF" w:rsidRPr="00271D46" w:rsidRDefault="006D7AD4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Ranu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Lee 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Hee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TH. Therapeutic hotline: Successful treatment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Morbihan’s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oral prednisolone and doxycycline.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2010; 23: 682–685</w:t>
      </w:r>
    </w:p>
    <w:p w:rsidR="00222803" w:rsidRPr="00271D46" w:rsidRDefault="00FC19CF" w:rsidP="00B01E79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Chaidemenos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proofErr w:type="gramStart"/>
      <w:r w:rsidRPr="00271D46">
        <w:rPr>
          <w:rFonts w:ascii="Times New Roman" w:hAnsi="Times New Roman" w:cs="Times New Roman"/>
          <w:sz w:val="24"/>
          <w:szCs w:val="24"/>
        </w:rPr>
        <w:t>Apalla,</w:t>
      </w:r>
      <w:proofErr w:type="gramEnd"/>
      <w:r w:rsidRPr="00271D4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Sidiropoulos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successful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treatment with slow-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releasingdoxycycline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monohydrate. </w:t>
      </w:r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. 2017 Aug 17. </w:t>
      </w:r>
      <w:proofErr w:type="spellStart"/>
      <w:proofErr w:type="gram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: 10.1111/jdv.14521. [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ahead of print]</w:t>
      </w:r>
    </w:p>
    <w:p w:rsidR="00A14F45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Uhara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Kawachi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Saida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Solid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a patient with rosacea. J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2000: 27: 214–216.</w:t>
      </w:r>
    </w:p>
    <w:p w:rsidR="00222803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Smith LA, Cohen DE. Successful long-term use of oral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for the management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a case series report and review of the literature. Arch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2012; 148: 1395–1398.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>Batra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Bansal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Tulsyan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 S. Granulomatous rosacea: unusual presentation as solitary plaque.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Online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2011;17(2):9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Mazzatenta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Giorgino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Rubegni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P, de Aloe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Fimiani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M. Solid persistent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Morbihan's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disease) following rosacea, successfully treated with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ketotifen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Br J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1997;137(6):1020-1021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Jansen T,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Plewig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G. The treatment of rosaceous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Exp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1997;22(1):57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Mazzatenta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C, et al. Solid persistent facial edema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Morbihan’s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disease) following rosacea, successfully treated with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ketotifen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 J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1997; 137: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1020 </w:t>
      </w:r>
      <w:bookmarkStart w:id="0" w:name="15"/>
      <w:bookmarkEnd w:id="0"/>
      <w:r w:rsidRPr="00271D4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C19CF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>Fujimoto N, Mitsuru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M,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Tanaka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Successful Treatment of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Long-term Minocycline and its Association with Mast Cell Infiltration.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Derm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2015; 95: 368–369.</w:t>
      </w:r>
      <w:r w:rsidR="00943E0D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FC19CF" w:rsidRPr="00271D46" w:rsidRDefault="00FC19CF" w:rsidP="00A90C4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43E0D" w:rsidRPr="00271D46" w:rsidRDefault="00276B2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Carruth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BP, Meyer DR,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Wladis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EJ, Bradley EA, Al-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Rohil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R, Jones DM,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Bartley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GB.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Extreme Eyelid Lymphedema Associated With Rosacea (Morbihan Disease): Case Series, Literature Review, and Therapeutic Considerations. Ophthal Plast Reconstr Surg. 2017 May/Jun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;33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>(3S Suppl 1):S34-S38.</w:t>
      </w:r>
    </w:p>
    <w:p w:rsidR="00857758" w:rsidRPr="00271D46" w:rsidRDefault="00857758" w:rsidP="00A90C48">
      <w:pPr>
        <w:pStyle w:val="PargrafodaLista"/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B57653" w:rsidRPr="00B57653" w:rsidRDefault="0085775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Okubo A,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Takahash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 K,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Akasaka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Four cases of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suc-cessfully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treated with doxycycline. </w:t>
      </w:r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 xml:space="preserve"> 2017; 44: 713–</w:t>
      </w:r>
      <w:r w:rsidR="00B57653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B57653" w:rsidRPr="00B57653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B57653" w:rsidRDefault="00CA2933" w:rsidP="00B57653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6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 xml:space="preserve">arney JW. Solid edema of face (??) Arch </w:t>
      </w:r>
      <w:proofErr w:type="spellStart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. 1966</w:t>
      </w:r>
      <w:proofErr w:type="gramStart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;94:664</w:t>
      </w:r>
      <w:proofErr w:type="gramEnd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–666. [PubMed]</w:t>
      </w:r>
    </w:p>
    <w:p w:rsidR="00B57653" w:rsidRPr="00B57653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532AF8" w:rsidRPr="00271D46" w:rsidRDefault="00532AF8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D69" w:rsidRPr="00271D46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2AF8" w:rsidRPr="00271D4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1: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regiões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malares e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frontal</w:t>
      </w:r>
    </w:p>
    <w:p w:rsidR="004904A1" w:rsidRDefault="00532AF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546D72" wp14:editId="7DF792AA">
            <wp:extent cx="2671561" cy="3564865"/>
            <wp:effectExtent l="0" t="0" r="0" b="0"/>
            <wp:docPr id="1" name="Imagem 1" descr="C:\Users\Administrador\Desktop\CASOS DERMATO 2017\fts Paint Morbihan\pain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CASOS DERMATO 2017\fts Paint Morbihan\paint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19" cy="35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IGURA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nas regiões malares e na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visão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lateral esquerda</w:t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2E4ACB" wp14:editId="76F83CDD">
            <wp:extent cx="2708274" cy="3561907"/>
            <wp:effectExtent l="0" t="0" r="0" b="635"/>
            <wp:docPr id="2" name="Imagem 2" descr="C:\Users\Administrador\Desktop\CASOS DERMATO 2017\fts Paint Morbihan\paint 2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CASOS DERMATO 2017\fts Paint Morbihan\paint 2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32" cy="35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CA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 w:rsidR="002325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nas regiões malares e na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visão lateral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direita</w:t>
      </w:r>
    </w:p>
    <w:p w:rsidR="00DB7FD6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71D422" wp14:editId="10E3C9B0">
            <wp:extent cx="3157870" cy="4213783"/>
            <wp:effectExtent l="0" t="0" r="4445" b="0"/>
            <wp:docPr id="7" name="Imagem 3" descr="C:\Users\Administrador\Desktop\CASOS DERMATO 2017\fts Paint Morbihan\paint 3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esktop\CASOS DERMATO 2017\fts Paint Morbihan\paint 3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41" cy="42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5CA" w:rsidRPr="00DB7FD6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168" w:rsidRPr="00271D4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Remissão 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completa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frontal</w:t>
      </w:r>
    </w:p>
    <w:p w:rsidR="00CF3168" w:rsidRDefault="00CF3168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BD144C" wp14:editId="29C0534B">
            <wp:extent cx="2658140" cy="3546957"/>
            <wp:effectExtent l="0" t="0" r="8890" b="0"/>
            <wp:docPr id="4" name="Imagem 4" descr="C:\Users\Administrador\Desktop\CASOS DERMATO 2017\fts Paint Morbihan\Paint 4- fr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Desktop\CASOS DERMATO 2017\fts Paint Morbihan\Paint 4- front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84" cy="354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D46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FIGURA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nico após 30 dias de tratamento- visão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lateral esquerda</w:t>
      </w:r>
    </w:p>
    <w:p w:rsidR="00CF3168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E0A8A8" wp14:editId="44B2E9C8">
            <wp:extent cx="2679405" cy="3575330"/>
            <wp:effectExtent l="0" t="0" r="6985" b="6350"/>
            <wp:docPr id="3" name="Imagem 3" descr="C:\Users\Administrador\Desktop\CASOS DERMATO 2017\fts Paint Morbihan\Paint 5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Desktop\CASOS DERMATO 2017\fts Paint Morbihan\Paint 5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4" cy="35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07" w:rsidRPr="00125E07" w:rsidRDefault="00125E07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nico após 30 dias de tratamento- visão lateral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direita</w:t>
      </w:r>
      <w:bookmarkStart w:id="1" w:name="_GoBack"/>
      <w:bookmarkEnd w:id="1"/>
    </w:p>
    <w:p w:rsidR="00640F28" w:rsidRPr="00786DA9" w:rsidRDefault="00CF316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DA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70791" cy="3830713"/>
            <wp:effectExtent l="0" t="0" r="6350" b="0"/>
            <wp:docPr id="6" name="Imagem 6" descr="C:\Users\Administrador\Desktop\CASOS DERMATO 2017\fts Paint Morbihan\Paint 6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Desktop\CASOS DERMATO 2017\fts Paint Morbihan\Paint 6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47" cy="383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F28" w:rsidRPr="00786DA9" w:rsidSect="00271D46">
      <w:head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05" w:rsidRDefault="004F7B05" w:rsidP="004A1354">
      <w:pPr>
        <w:spacing w:after="0" w:line="240" w:lineRule="auto"/>
      </w:pPr>
      <w:r>
        <w:separator/>
      </w:r>
    </w:p>
  </w:endnote>
  <w:endnote w:type="continuationSeparator" w:id="0">
    <w:p w:rsidR="004F7B05" w:rsidRDefault="004F7B05" w:rsidP="004A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05" w:rsidRDefault="004F7B05" w:rsidP="004A1354">
      <w:pPr>
        <w:spacing w:after="0" w:line="240" w:lineRule="auto"/>
      </w:pPr>
      <w:r>
        <w:separator/>
      </w:r>
    </w:p>
  </w:footnote>
  <w:footnote w:type="continuationSeparator" w:id="0">
    <w:p w:rsidR="004F7B05" w:rsidRDefault="004F7B05" w:rsidP="004A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409"/>
      <w:docPartObj>
        <w:docPartGallery w:val="Page Numbers (Top of Page)"/>
        <w:docPartUnique/>
      </w:docPartObj>
    </w:sdtPr>
    <w:sdtEndPr/>
    <w:sdtContent>
      <w:p w:rsidR="00AE6FB3" w:rsidRDefault="001530FA">
        <w:pPr>
          <w:pStyle w:val="Cabealho"/>
          <w:jc w:val="right"/>
        </w:pPr>
        <w:r>
          <w:fldChar w:fldCharType="begin"/>
        </w:r>
        <w:r w:rsidR="00424A5A">
          <w:instrText xml:space="preserve"> PAGE   \* MERGEFORMAT </w:instrText>
        </w:r>
        <w:r>
          <w:fldChar w:fldCharType="separate"/>
        </w:r>
        <w:r w:rsidR="002325C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E6FB3" w:rsidRDefault="00AE6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6F1E"/>
    <w:multiLevelType w:val="multilevel"/>
    <w:tmpl w:val="2F88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405D6"/>
    <w:multiLevelType w:val="multilevel"/>
    <w:tmpl w:val="39BC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02A7E"/>
    <w:multiLevelType w:val="multilevel"/>
    <w:tmpl w:val="BE0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43838"/>
    <w:multiLevelType w:val="multilevel"/>
    <w:tmpl w:val="F8ACA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20434"/>
    <w:multiLevelType w:val="multilevel"/>
    <w:tmpl w:val="DC0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24550"/>
    <w:multiLevelType w:val="multilevel"/>
    <w:tmpl w:val="B38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C7D23"/>
    <w:multiLevelType w:val="multilevel"/>
    <w:tmpl w:val="EF3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22F0B"/>
    <w:multiLevelType w:val="hybridMultilevel"/>
    <w:tmpl w:val="F8EC2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13596"/>
    <w:multiLevelType w:val="multilevel"/>
    <w:tmpl w:val="E4B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A4C72"/>
    <w:multiLevelType w:val="multilevel"/>
    <w:tmpl w:val="DC96E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2393E"/>
    <w:multiLevelType w:val="multilevel"/>
    <w:tmpl w:val="9634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D07B7"/>
    <w:multiLevelType w:val="multilevel"/>
    <w:tmpl w:val="555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750D5"/>
    <w:multiLevelType w:val="multilevel"/>
    <w:tmpl w:val="984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E4B92"/>
    <w:multiLevelType w:val="multilevel"/>
    <w:tmpl w:val="A49C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A52A9"/>
    <w:multiLevelType w:val="multilevel"/>
    <w:tmpl w:val="C2A6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47ECF"/>
    <w:multiLevelType w:val="hybridMultilevel"/>
    <w:tmpl w:val="5642A356"/>
    <w:lvl w:ilvl="0" w:tplc="6206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74210"/>
    <w:multiLevelType w:val="multilevel"/>
    <w:tmpl w:val="5E9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54318"/>
    <w:multiLevelType w:val="multilevel"/>
    <w:tmpl w:val="57B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51EB7"/>
    <w:multiLevelType w:val="multilevel"/>
    <w:tmpl w:val="325C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C5DED"/>
    <w:multiLevelType w:val="multilevel"/>
    <w:tmpl w:val="151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3E07C7"/>
    <w:multiLevelType w:val="multilevel"/>
    <w:tmpl w:val="1C0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44782"/>
    <w:multiLevelType w:val="multilevel"/>
    <w:tmpl w:val="109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20"/>
  </w:num>
  <w:num w:numId="12">
    <w:abstractNumId w:val="1"/>
  </w:num>
  <w:num w:numId="13">
    <w:abstractNumId w:val="0"/>
  </w:num>
  <w:num w:numId="14">
    <w:abstractNumId w:val="11"/>
  </w:num>
  <w:num w:numId="15">
    <w:abstractNumId w:val="4"/>
  </w:num>
  <w:num w:numId="16">
    <w:abstractNumId w:val="8"/>
  </w:num>
  <w:num w:numId="17">
    <w:abstractNumId w:val="19"/>
  </w:num>
  <w:num w:numId="18">
    <w:abstractNumId w:val="21"/>
  </w:num>
  <w:num w:numId="19">
    <w:abstractNumId w:val="6"/>
  </w:num>
  <w:num w:numId="20">
    <w:abstractNumId w:val="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8A"/>
    <w:rsid w:val="0000324C"/>
    <w:rsid w:val="00046FAF"/>
    <w:rsid w:val="0006327D"/>
    <w:rsid w:val="00073428"/>
    <w:rsid w:val="000D0424"/>
    <w:rsid w:val="000D273A"/>
    <w:rsid w:val="00112636"/>
    <w:rsid w:val="00125E07"/>
    <w:rsid w:val="00131F51"/>
    <w:rsid w:val="001530FA"/>
    <w:rsid w:val="00156E02"/>
    <w:rsid w:val="001A1C40"/>
    <w:rsid w:val="001C7C13"/>
    <w:rsid w:val="001E38D3"/>
    <w:rsid w:val="00213D69"/>
    <w:rsid w:val="00222803"/>
    <w:rsid w:val="002325CA"/>
    <w:rsid w:val="00232B76"/>
    <w:rsid w:val="0023522C"/>
    <w:rsid w:val="00253314"/>
    <w:rsid w:val="00270320"/>
    <w:rsid w:val="00271D46"/>
    <w:rsid w:val="00275832"/>
    <w:rsid w:val="00276B24"/>
    <w:rsid w:val="002924FC"/>
    <w:rsid w:val="002D446E"/>
    <w:rsid w:val="002E1D69"/>
    <w:rsid w:val="002F4008"/>
    <w:rsid w:val="00315378"/>
    <w:rsid w:val="00317DA7"/>
    <w:rsid w:val="00384E39"/>
    <w:rsid w:val="003B3DB6"/>
    <w:rsid w:val="003F24A3"/>
    <w:rsid w:val="003F47E1"/>
    <w:rsid w:val="00403AE5"/>
    <w:rsid w:val="00424A5A"/>
    <w:rsid w:val="00452257"/>
    <w:rsid w:val="004904A1"/>
    <w:rsid w:val="004939D7"/>
    <w:rsid w:val="004A1354"/>
    <w:rsid w:val="004B0300"/>
    <w:rsid w:val="004E3343"/>
    <w:rsid w:val="004E6E66"/>
    <w:rsid w:val="004F7B05"/>
    <w:rsid w:val="00531B36"/>
    <w:rsid w:val="00532AF8"/>
    <w:rsid w:val="00554B8C"/>
    <w:rsid w:val="005554D0"/>
    <w:rsid w:val="005619B9"/>
    <w:rsid w:val="0056338A"/>
    <w:rsid w:val="005C4A1E"/>
    <w:rsid w:val="00610675"/>
    <w:rsid w:val="00617A26"/>
    <w:rsid w:val="00640F28"/>
    <w:rsid w:val="006463A0"/>
    <w:rsid w:val="006740D8"/>
    <w:rsid w:val="00697879"/>
    <w:rsid w:val="006B631D"/>
    <w:rsid w:val="006C537D"/>
    <w:rsid w:val="006D0CB6"/>
    <w:rsid w:val="006D7AD4"/>
    <w:rsid w:val="00736D20"/>
    <w:rsid w:val="00751176"/>
    <w:rsid w:val="00773268"/>
    <w:rsid w:val="00780386"/>
    <w:rsid w:val="00786DA9"/>
    <w:rsid w:val="007B3252"/>
    <w:rsid w:val="007E594A"/>
    <w:rsid w:val="0080057F"/>
    <w:rsid w:val="0085517A"/>
    <w:rsid w:val="00857758"/>
    <w:rsid w:val="00875233"/>
    <w:rsid w:val="00880576"/>
    <w:rsid w:val="008C3E78"/>
    <w:rsid w:val="008F59A4"/>
    <w:rsid w:val="00901E17"/>
    <w:rsid w:val="009144B7"/>
    <w:rsid w:val="00926E1A"/>
    <w:rsid w:val="00932CC9"/>
    <w:rsid w:val="00937710"/>
    <w:rsid w:val="00943E0D"/>
    <w:rsid w:val="0096060D"/>
    <w:rsid w:val="009B150A"/>
    <w:rsid w:val="009C6CC1"/>
    <w:rsid w:val="00A14F45"/>
    <w:rsid w:val="00A47AD7"/>
    <w:rsid w:val="00A7155E"/>
    <w:rsid w:val="00A90C48"/>
    <w:rsid w:val="00A97B78"/>
    <w:rsid w:val="00A97F3E"/>
    <w:rsid w:val="00AC1E4E"/>
    <w:rsid w:val="00AE6FB3"/>
    <w:rsid w:val="00AF53A9"/>
    <w:rsid w:val="00B01E79"/>
    <w:rsid w:val="00B532C1"/>
    <w:rsid w:val="00B57653"/>
    <w:rsid w:val="00B80083"/>
    <w:rsid w:val="00BA460F"/>
    <w:rsid w:val="00BE18D7"/>
    <w:rsid w:val="00BF01B3"/>
    <w:rsid w:val="00C01CE1"/>
    <w:rsid w:val="00C319BE"/>
    <w:rsid w:val="00C64DC9"/>
    <w:rsid w:val="00CA2933"/>
    <w:rsid w:val="00CF3168"/>
    <w:rsid w:val="00D4294A"/>
    <w:rsid w:val="00D45F27"/>
    <w:rsid w:val="00D5230E"/>
    <w:rsid w:val="00D6062A"/>
    <w:rsid w:val="00DA72EF"/>
    <w:rsid w:val="00DB7FD6"/>
    <w:rsid w:val="00DC45A6"/>
    <w:rsid w:val="00DD3AF9"/>
    <w:rsid w:val="00DE3858"/>
    <w:rsid w:val="00E76F45"/>
    <w:rsid w:val="00EB2F89"/>
    <w:rsid w:val="00EE1DE6"/>
    <w:rsid w:val="00EF47C1"/>
    <w:rsid w:val="00F22B73"/>
    <w:rsid w:val="00F57554"/>
    <w:rsid w:val="00F631A2"/>
    <w:rsid w:val="00F632F5"/>
    <w:rsid w:val="00F936DC"/>
    <w:rsid w:val="00FC19CF"/>
    <w:rsid w:val="00FD7C1B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macellaro@hotmail.com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532502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marinamacellaro@hotmail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ata.cv.92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2794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dcterms:created xsi:type="dcterms:W3CDTF">2018-01-22T22:43:00Z</dcterms:created>
  <dcterms:modified xsi:type="dcterms:W3CDTF">2018-01-22T23:59:00Z</dcterms:modified>
</cp:coreProperties>
</file>